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FF5BA0" w14:textId="2C33D848" w:rsidR="00E32762" w:rsidRDefault="00571F77" w:rsidP="00C51C46">
      <w:pPr>
        <w:rPr>
          <w:b/>
        </w:rPr>
      </w:pPr>
      <w:r>
        <w:rPr>
          <w:b/>
        </w:rPr>
        <w:t>Obrazloženje</w:t>
      </w:r>
      <w:r w:rsidR="00F02505">
        <w:rPr>
          <w:b/>
        </w:rPr>
        <w:t xml:space="preserve"> prijedloga financijskog</w:t>
      </w:r>
      <w:r>
        <w:rPr>
          <w:b/>
        </w:rPr>
        <w:t xml:space="preserve"> plana </w:t>
      </w:r>
    </w:p>
    <w:p w14:paraId="1A246FDF" w14:textId="77777777" w:rsidR="00571F77" w:rsidRDefault="00571F77" w:rsidP="00C51C46">
      <w:pPr>
        <w:rPr>
          <w:b/>
        </w:rPr>
      </w:pPr>
    </w:p>
    <w:p w14:paraId="44777A36" w14:textId="5BFD13E7" w:rsidR="00C51C46" w:rsidRDefault="00731E3B" w:rsidP="00C51C46">
      <w:pPr>
        <w:rPr>
          <w:b/>
          <w:sz w:val="32"/>
          <w:szCs w:val="32"/>
        </w:rPr>
      </w:pPr>
      <w:r>
        <w:rPr>
          <w:b/>
          <w:sz w:val="32"/>
          <w:szCs w:val="32"/>
        </w:rPr>
        <w:t>Sveučilište</w:t>
      </w:r>
      <w:r w:rsidR="00C51C46" w:rsidRPr="00502D6C">
        <w:rPr>
          <w:b/>
          <w:sz w:val="32"/>
          <w:szCs w:val="32"/>
        </w:rPr>
        <w:t xml:space="preserve"> </w:t>
      </w:r>
      <w:r w:rsidR="00571F77">
        <w:rPr>
          <w:b/>
          <w:sz w:val="32"/>
          <w:szCs w:val="32"/>
        </w:rPr>
        <w:t>u Dubrovniku</w:t>
      </w:r>
      <w:r w:rsidR="00367C03" w:rsidRPr="00502D6C">
        <w:rPr>
          <w:b/>
          <w:sz w:val="32"/>
          <w:szCs w:val="32"/>
        </w:rPr>
        <w:t xml:space="preserve"> za razdoblje 202</w:t>
      </w:r>
      <w:r w:rsidR="00AC1F88">
        <w:rPr>
          <w:b/>
          <w:sz w:val="32"/>
          <w:szCs w:val="32"/>
        </w:rPr>
        <w:t>3</w:t>
      </w:r>
      <w:r w:rsidR="00367C03" w:rsidRPr="00502D6C">
        <w:rPr>
          <w:b/>
          <w:sz w:val="32"/>
          <w:szCs w:val="32"/>
        </w:rPr>
        <w:t>.-202</w:t>
      </w:r>
      <w:r w:rsidR="00AC1F88">
        <w:rPr>
          <w:b/>
          <w:sz w:val="32"/>
          <w:szCs w:val="32"/>
        </w:rPr>
        <w:t>5</w:t>
      </w:r>
      <w:r w:rsidR="00367C03" w:rsidRPr="00502D6C">
        <w:rPr>
          <w:b/>
          <w:sz w:val="32"/>
          <w:szCs w:val="32"/>
        </w:rPr>
        <w:t>.g.</w:t>
      </w:r>
    </w:p>
    <w:p w14:paraId="16F16547" w14:textId="77777777" w:rsidR="00657B73" w:rsidRDefault="00657B73" w:rsidP="00C51C46">
      <w:pPr>
        <w:rPr>
          <w:b/>
          <w:sz w:val="32"/>
          <w:szCs w:val="32"/>
        </w:rPr>
      </w:pPr>
    </w:p>
    <w:p w14:paraId="1ABA9B70" w14:textId="1A88F07C" w:rsidR="00571F77" w:rsidRPr="00E32762" w:rsidRDefault="00571F77" w:rsidP="00571F77">
      <w:pPr>
        <w:pBdr>
          <w:top w:val="dotted" w:sz="4" w:space="1" w:color="808080" w:themeColor="background1" w:themeShade="80"/>
          <w:bottom w:val="dotted" w:sz="4" w:space="1" w:color="808080" w:themeColor="background1" w:themeShade="80"/>
        </w:pBdr>
        <w:shd w:val="clear" w:color="auto" w:fill="D0CECE" w:themeFill="background2" w:themeFillShade="E6"/>
        <w:spacing w:after="160" w:line="259" w:lineRule="auto"/>
        <w:jc w:val="both"/>
        <w:rPr>
          <w:rFonts w:asciiTheme="minorHAnsi" w:eastAsiaTheme="minorHAnsi" w:hAnsiTheme="minorHAnsi" w:cstheme="minorBidi"/>
          <w:b/>
          <w:sz w:val="28"/>
          <w:szCs w:val="22"/>
          <w:lang w:eastAsia="en-US"/>
        </w:rPr>
      </w:pPr>
      <w:r w:rsidRPr="00CB21EC">
        <w:rPr>
          <w:rFonts w:asciiTheme="minorHAnsi" w:eastAsiaTheme="minorHAnsi" w:hAnsiTheme="minorHAnsi" w:cstheme="minorBidi"/>
          <w:b/>
          <w:sz w:val="28"/>
          <w:szCs w:val="22"/>
          <w:lang w:eastAsia="en-US"/>
        </w:rPr>
        <w:t xml:space="preserve">Sažetak djelokruga rada </w:t>
      </w:r>
    </w:p>
    <w:p w14:paraId="57858128" w14:textId="77777777" w:rsidR="008E5F24" w:rsidRDefault="008E5F24" w:rsidP="008E5F24">
      <w:pPr>
        <w:jc w:val="both"/>
        <w:rPr>
          <w:rFonts w:eastAsia="Calibri"/>
          <w:sz w:val="22"/>
          <w:szCs w:val="22"/>
        </w:rPr>
      </w:pPr>
    </w:p>
    <w:p w14:paraId="457C1D49" w14:textId="5367FDEE" w:rsidR="008E5F24" w:rsidRPr="008E5F24" w:rsidRDefault="008E5F24" w:rsidP="008E5F24">
      <w:pPr>
        <w:jc w:val="both"/>
        <w:rPr>
          <w:rFonts w:eastAsia="Calibri"/>
        </w:rPr>
      </w:pPr>
      <w:r w:rsidRPr="008E5F24">
        <w:rPr>
          <w:rFonts w:eastAsia="Calibri"/>
        </w:rPr>
        <w:t>Sveučilište je javno visoko učilište i ima svojstvo pravne osobe s javnim ovlastima.</w:t>
      </w:r>
    </w:p>
    <w:p w14:paraId="457C5BF8" w14:textId="77777777" w:rsidR="008E5F24" w:rsidRPr="008E5F24" w:rsidRDefault="008E5F24" w:rsidP="008E5F24">
      <w:pPr>
        <w:jc w:val="both"/>
        <w:rPr>
          <w:rFonts w:eastAsia="Calibri"/>
        </w:rPr>
      </w:pPr>
      <w:r w:rsidRPr="008E5F24">
        <w:rPr>
          <w:rFonts w:eastAsia="Calibri"/>
        </w:rPr>
        <w:t>Osnivač Sveučilišta je Republika Hrvatska, a prava i dužnosti osnivača obavlja Ministarstvo znanosti i obrazovanja Republike Hrvatske.</w:t>
      </w:r>
    </w:p>
    <w:p w14:paraId="4EE11C99" w14:textId="77777777" w:rsidR="008E5F24" w:rsidRPr="008E5F24" w:rsidRDefault="008E5F24" w:rsidP="008E5F24">
      <w:pPr>
        <w:jc w:val="both"/>
        <w:rPr>
          <w:rFonts w:eastAsia="Calibri"/>
        </w:rPr>
      </w:pPr>
      <w:r w:rsidRPr="008E5F24">
        <w:rPr>
          <w:rFonts w:eastAsia="Calibri"/>
        </w:rPr>
        <w:t>Sveučilište predstavlja i zastupa rektor koji ima sve ovlasti u pravnom prometu u okviru djelatnosti Sveučilišta upisane u sudski registar.</w:t>
      </w:r>
    </w:p>
    <w:p w14:paraId="2D12FBD1" w14:textId="77777777" w:rsidR="008E5F24" w:rsidRPr="008E5F24" w:rsidRDefault="008E5F24" w:rsidP="008E5F24">
      <w:pPr>
        <w:jc w:val="both"/>
        <w:rPr>
          <w:rFonts w:eastAsia="Calibri"/>
        </w:rPr>
      </w:pPr>
      <w:r w:rsidRPr="008E5F24">
        <w:rPr>
          <w:rFonts w:eastAsia="Calibri"/>
        </w:rPr>
        <w:t>Sveučilište je pravna osoba upisana u registar ustanova pri Trgovačkom sudu u Dubrovniku, MBS: 1787578.</w:t>
      </w:r>
    </w:p>
    <w:p w14:paraId="4C53396C" w14:textId="77777777" w:rsidR="008E5F24" w:rsidRPr="008E5F24" w:rsidRDefault="008E5F24" w:rsidP="008E5F24">
      <w:pPr>
        <w:jc w:val="both"/>
        <w:rPr>
          <w:rFonts w:eastAsia="Calibri"/>
        </w:rPr>
      </w:pPr>
      <w:r w:rsidRPr="008E5F24">
        <w:rPr>
          <w:rFonts w:eastAsia="Calibri"/>
        </w:rPr>
        <w:t xml:space="preserve">Sveučilište je upisano u Upisnik znanstvenih organizacija i Upisnik visokih učilišta. </w:t>
      </w:r>
    </w:p>
    <w:p w14:paraId="2FCEBC6D" w14:textId="77777777" w:rsidR="008E5F24" w:rsidRPr="008E5F24" w:rsidRDefault="008E5F24" w:rsidP="008E5F24">
      <w:pPr>
        <w:jc w:val="both"/>
        <w:rPr>
          <w:rFonts w:eastAsia="Calibri"/>
        </w:rPr>
      </w:pPr>
      <w:r w:rsidRPr="008E5F24">
        <w:rPr>
          <w:rFonts w:eastAsia="Calibri"/>
        </w:rPr>
        <w:t xml:space="preserve">Sveučilište odgovara za svoje obveze cijelom svojom imovinom. </w:t>
      </w:r>
    </w:p>
    <w:p w14:paraId="291F736C" w14:textId="77777777" w:rsidR="008E5F24" w:rsidRPr="008E5F24" w:rsidRDefault="008E5F24" w:rsidP="008E5F24">
      <w:pPr>
        <w:jc w:val="both"/>
        <w:rPr>
          <w:rFonts w:eastAsia="Calibri"/>
        </w:rPr>
      </w:pPr>
    </w:p>
    <w:p w14:paraId="369BB733" w14:textId="77777777" w:rsidR="008E5F24" w:rsidRPr="008E5F24" w:rsidRDefault="008E5F24" w:rsidP="008E5F24">
      <w:pPr>
        <w:jc w:val="both"/>
        <w:rPr>
          <w:rFonts w:eastAsia="Calibri"/>
        </w:rPr>
      </w:pPr>
      <w:r w:rsidRPr="008E5F24">
        <w:rPr>
          <w:rFonts w:eastAsia="Calibri"/>
        </w:rPr>
        <w:t xml:space="preserve">Sveučilište integrira funkcije svojih sastavnica (funkcionalna integriranost), a preko sveučilišnih tijela osigurava njihovo jedinstveno i usklađeno djelovanje u skladu sa strateškim i razvojnim odlukama o akademskim pitanjima i o profiliranju znanstvenih istraživanja, te jedinstveno i usklađeno djelovanje u financijskom poslovanju i pravnom prometu, investicijama, razvojnim planovima te u nastupu prema vanjskim partnerima u znanstvenim djelatnostima i visokom obrazovanju. Statutom i općim aktima Sveučilišta i sveučilišnih sastavnica utvrđuje se način upravljanja koji osigurava integriranost funkcija Sveučilišta i ostvarenje interesa i ciljeva radi kojih je Sveučilište osnovalo sveučilišnu sastavnicu (upravna integracija). </w:t>
      </w:r>
    </w:p>
    <w:p w14:paraId="0ECFE584" w14:textId="77777777" w:rsidR="008E5F24" w:rsidRPr="008E5F24" w:rsidRDefault="008E5F24" w:rsidP="008E5F24">
      <w:pPr>
        <w:jc w:val="both"/>
        <w:rPr>
          <w:rFonts w:eastAsia="Calibri"/>
        </w:rPr>
      </w:pPr>
    </w:p>
    <w:p w14:paraId="58A49F17" w14:textId="77777777" w:rsidR="008E5F24" w:rsidRPr="008E5F24" w:rsidRDefault="008E5F24" w:rsidP="008E5F24">
      <w:pPr>
        <w:jc w:val="both"/>
        <w:rPr>
          <w:rFonts w:eastAsia="Calibri"/>
        </w:rPr>
      </w:pPr>
      <w:r w:rsidRPr="008E5F24">
        <w:rPr>
          <w:rFonts w:eastAsia="Calibri"/>
        </w:rPr>
        <w:t xml:space="preserve">Temeljna djelatnost Sveučilišta je znanstveno istraživanje i visoko obrazovanje u području: - prirodnih znanosti, - tehničkih znanosti, - biomedicine i zdravstva, - biotehničkih znanosti, - društvenih znanosti, - humanistički znanosti, - umjetnosti. </w:t>
      </w:r>
    </w:p>
    <w:p w14:paraId="3E7820A7" w14:textId="3FFD47E3" w:rsidR="008E5F24" w:rsidRPr="008E5F24" w:rsidRDefault="008E5F24" w:rsidP="008E5F24">
      <w:pPr>
        <w:jc w:val="both"/>
        <w:rPr>
          <w:rFonts w:eastAsia="Calibri"/>
        </w:rPr>
      </w:pPr>
      <w:r w:rsidRPr="008E5F24">
        <w:rPr>
          <w:rFonts w:eastAsia="Calibri"/>
        </w:rPr>
        <w:t xml:space="preserve">Djelatnost Sveučilišta obuhvaća: - ustrojavanje i izvedbu sveučilišnih preddiplomskih, diplomskih i poslijediplomskih studija, - ustrojavanje i izvedbu stručnih studija, - ustrojavanje i izvedbu programa stručnog usavršavanja, - ustrojavanje i izvedbu programa cjeloživotnog učenja, - obavljanje znanstvenog i visokostručnog rada uz uvjete utvrđene posebnim propisima, - izdavačku, bibliotečnu i informatičku djelatnost za potrebe nastave, znanstvenog i stručnog rada, - izradbu stručnih mišljenja i vještačenja, - stručne poslove zaštite okoliša, - monitoring i analizu prometnih sustava u smislu njihova poboljšanja i optimizacije, - monitoring živih bogatstava, monitoring kvalitete mora, uzgoj mlađi, održavanje akvarija, formiranje znanstvenih zbirki, - savjetovanje i izradbu elaborata za uvođenje sustava upravljanja kvalitetom, sustava upravljanja zdravljem i sigurnošću, sustava upravljanja sigurnošću hrane, sustava upravljanja zaštitom okoliša, sustava upravljanja informacijskom sigurnošću te sustava financijskog upravljanja i kvalitete, - potvrđivanje (certificiranje) sustava upravljanja, - analize i upravljanja rizicima, upravljanja projektima i konfiguracijama, upravljanja vrijednostima, upravljanja energijom i promociju društvene odgovornosti, - istraživanje ekonomike poljoprivrede, ekonomike u preradi poljoprivrednih proizvoda i proizvodnji hrane, ruralnog prostora i razvoja te sociologije sela, - istraživanje čimbenika kakvoće grožđa i vina, mogućnosti i načina unaprjeđenja njihove kakvoće te vinogradarsko-vinarskoga sektora, - istraživanje u području voćarstva, maslinarstva, povrćarstva i cvjećarstva, - analizu, pretragu i ocjenjivanje grožđa, mošta, vina i drugih proizvoda od grožđa i vina, - analizu, pretragu i ocjenjivanje maslinova ulja, - analizu, pretragu i </w:t>
      </w:r>
      <w:r w:rsidRPr="008E5F24">
        <w:rPr>
          <w:rFonts w:eastAsia="Calibri"/>
        </w:rPr>
        <w:lastRenderedPageBreak/>
        <w:t>ocjenjivanje meda, - ispitivanje poljoprivrednoga zemljišta, - kemijsku analizu vode, - zasnivanje i održavanje matičnjaka reprodukcijskog i sadnog materijala, autohtonih, udomaćenih i introdukcijskih sorta i podloga različitih biljnih vrsta, podizanje i održavanje pokusnih nasada maslinika, voćnjaka, vinograda, ukrasnog, ljekovitog i aromatičnog bilja, obavljanje introdukcije, hibridizacije i klonske selekcije, - tehnička ispitivanja i analize predmeta i opće uporabe biljnoga podrijetla, - poljoprivrednu proizvodnju i primarnu prerada, - stručno usavršavanje poljoprivrednika, širenje znanja i suradnja s gospodarskim sektorom, - stručno i poslovno savjetovanje, organiziranje stručnih i znanstvenih savjetovanja, - praćenje i izvješćivanje o zdravstvenom stanju bilja na poljima, nasad</w:t>
      </w:r>
      <w:r w:rsidR="009D1E4A">
        <w:rPr>
          <w:rFonts w:eastAsia="Calibri"/>
        </w:rPr>
        <w:t>i</w:t>
      </w:r>
      <w:r w:rsidRPr="008E5F24">
        <w:rPr>
          <w:rFonts w:eastAsia="Calibri"/>
        </w:rPr>
        <w:t>ma, objektima i drugim površinama, - prognoziranje pojava štetnih organizama, razvoj i kretanje njihove populacije, - promet repromaterijala za potrebe poljoprivrede.</w:t>
      </w:r>
    </w:p>
    <w:p w14:paraId="218984B5" w14:textId="77777777" w:rsidR="008E5F24" w:rsidRPr="008E5F24" w:rsidRDefault="008E5F24" w:rsidP="008E5F24">
      <w:pPr>
        <w:jc w:val="both"/>
        <w:rPr>
          <w:rFonts w:eastAsia="Calibri"/>
        </w:rPr>
      </w:pPr>
      <w:r w:rsidRPr="008E5F24">
        <w:rPr>
          <w:rFonts w:eastAsia="Calibri"/>
        </w:rPr>
        <w:t xml:space="preserve">Pored temeljne djelatnosti Sveučilište obavlja i druge djelatnosti koje služe obavljanju djelatnosti upisane u sudski registar, ako se one u manjem opsegu ili uobičajeno obavljaju uz upisanu djelatnost, a ako je neka djelatnost ili njen dio uređena posebnim propisima, Sveučilište je obavlja sukladno tim propisima. </w:t>
      </w:r>
    </w:p>
    <w:p w14:paraId="33B4C5A8" w14:textId="77777777" w:rsidR="008E5F24" w:rsidRPr="008E5F24" w:rsidRDefault="008E5F24" w:rsidP="008E5F24">
      <w:pPr>
        <w:ind w:right="-828"/>
        <w:rPr>
          <w:b/>
        </w:rPr>
      </w:pPr>
    </w:p>
    <w:p w14:paraId="390F96D2" w14:textId="77777777" w:rsidR="008E5F24" w:rsidRPr="008E5F24" w:rsidRDefault="008E5F24" w:rsidP="008E5F24">
      <w:pPr>
        <w:shd w:val="clear" w:color="auto" w:fill="FFFFFF"/>
        <w:spacing w:before="100" w:beforeAutospacing="1" w:after="100" w:afterAutospacing="1"/>
        <w:jc w:val="both"/>
        <w:rPr>
          <w:color w:val="000000"/>
          <w:lang w:eastAsia="hr-HR"/>
        </w:rPr>
      </w:pPr>
      <w:r w:rsidRPr="008E5F24">
        <w:rPr>
          <w:color w:val="000000"/>
          <w:lang w:eastAsia="hr-HR"/>
        </w:rPr>
        <w:t>Sveučilište u Dubrovniku ulaže velike napore da bi kontinuirano podizalo kvalitetu nastavnih, znanstvenih, istraživačkih i ostalih aktivnosti. Osluškujući potrebe tržišta rada ali i lokalne, regionalne i nacionalne zajednice, uvodi studijske programe koji nisu preslik postojećih na drugim hrvatskim sveučilištima. Istodobno, vodi računa o povijesti, sadašnjosti i budućnosti Grada te sinergiji akademske zajednice s okruženjem, pa će nastaviti uvoditi studijske programe koji će imati ishodište u tradiciji i kulturi Dubrovnika, ali i one s međunarodnim naglaskom. Uostalom, to je i zapisano u strategiji, viziji i misiji Sveučilišta u Dubrovniku. Međunarodna suradnja, izvrsnost studija i znanstveno-istraživačkog rada temeljne su odrednice planiranoga razvoja. S tim u vezi, velik zamah Sveučilištu dat će i novoizgrađeni Studentski dom. Također, Sveučilište će stvarati preduvjete za osnivanje centra koji će okupljati strukovne udruge i tako će preuzeti ulogu značajnog čimbenika u kreiranju inženjerskih, ekonomskih i ostalih stručnih studija, elaborata i ekspertiza.</w:t>
      </w:r>
    </w:p>
    <w:p w14:paraId="2619D97F" w14:textId="77777777" w:rsidR="008E5F24" w:rsidRPr="008E5F24" w:rsidRDefault="008E5F24" w:rsidP="008E5F24">
      <w:pPr>
        <w:shd w:val="clear" w:color="auto" w:fill="FFFFFF"/>
        <w:spacing w:before="100" w:beforeAutospacing="1" w:after="100" w:afterAutospacing="1"/>
        <w:jc w:val="both"/>
        <w:rPr>
          <w:color w:val="000000"/>
          <w:lang w:eastAsia="hr-HR"/>
        </w:rPr>
      </w:pPr>
      <w:r w:rsidRPr="008E5F24">
        <w:rPr>
          <w:color w:val="000000"/>
          <w:lang w:eastAsia="hr-HR"/>
        </w:rPr>
        <w:t>Danas Sveučilište u Dubrovniku ima šest odjela: Odjel za ekonomiju i poslovnu ekonomiju, Pomorski odjel, Odjel za elektrotehniku i računarstvo, Odjel za akvakulturu, Odjel za komunikologiju, Odjel za umjetnost i restauraciju, te studije izvan Odjela - stručni preddiplomski studij Sestrinstvo i specijalistički diplomski stručni studij Kliničko sestrinstvo te sveučilišni preddiplomski studij Povijest Jadrana i Mediterana. Na njima se izvodi četrnaest trogodišnjih sveučilišnih preddiplomskih studija, tri trogodišnja stručna preddiplomska studija, dvanaest dvogodišnjih sveučilišnih diplomskih studija, dva dvogodišnja stručna diplomska studija,  jedan poslijediplomski specijalistički studij i šest međusveučilišnih poslijediplomskih (doktorskih) studija. Master Double Degree program Odjela za ekonomiju i poslovnu ekonomiju Sveučilišta u Dubrovniku i studija ekonomije i marketinga Sveučilišta u Palermu, s izvedbom nastave započeo je akademske 2016./2017. U sastavu Sveučilišta je i Institut za more i priobalje i Zavod za mediteranske kulture, a izvaninstitucionalno je povezan i Studentski centar.</w:t>
      </w:r>
    </w:p>
    <w:p w14:paraId="48B9A37F" w14:textId="77777777" w:rsidR="008E5F24" w:rsidRPr="008E5F24" w:rsidRDefault="008E5F24" w:rsidP="008E5F24">
      <w:pPr>
        <w:shd w:val="clear" w:color="auto" w:fill="FFFFFF"/>
        <w:spacing w:before="100" w:beforeAutospacing="1" w:after="100" w:afterAutospacing="1"/>
        <w:jc w:val="both"/>
        <w:rPr>
          <w:color w:val="000000"/>
          <w:lang w:eastAsia="hr-HR"/>
        </w:rPr>
      </w:pPr>
      <w:r w:rsidRPr="008E5F24">
        <w:rPr>
          <w:color w:val="000000"/>
          <w:lang w:eastAsia="hr-HR"/>
        </w:rPr>
        <w:t>Osnovna obilježja Sveučilišta u Dubrovniku su:</w:t>
      </w:r>
    </w:p>
    <w:p w14:paraId="14C2081F" w14:textId="77777777" w:rsidR="008E5F24" w:rsidRPr="008E5F24" w:rsidRDefault="008E5F24" w:rsidP="008E5F24">
      <w:pPr>
        <w:numPr>
          <w:ilvl w:val="0"/>
          <w:numId w:val="20"/>
        </w:numPr>
        <w:shd w:val="clear" w:color="auto" w:fill="FFFFFF"/>
        <w:spacing w:before="100" w:beforeAutospacing="1" w:after="100" w:afterAutospacing="1"/>
        <w:jc w:val="both"/>
        <w:rPr>
          <w:color w:val="000000"/>
          <w:lang w:eastAsia="hr-HR"/>
        </w:rPr>
      </w:pPr>
      <w:r w:rsidRPr="008E5F24">
        <w:rPr>
          <w:color w:val="000000"/>
          <w:lang w:eastAsia="hr-HR"/>
        </w:rPr>
        <w:t>organizacijski ustroj koji nije kopija postojećih sveučilišta u Republici Hrvatskoj i financijsko poslovanje koje omogućuje potpunu integriranost Sveučilišta;</w:t>
      </w:r>
    </w:p>
    <w:p w14:paraId="72BE3D96" w14:textId="77777777" w:rsidR="008E5F24" w:rsidRPr="008E5F24" w:rsidRDefault="008E5F24" w:rsidP="008E5F24">
      <w:pPr>
        <w:numPr>
          <w:ilvl w:val="0"/>
          <w:numId w:val="20"/>
        </w:numPr>
        <w:shd w:val="clear" w:color="auto" w:fill="FFFFFF"/>
        <w:spacing w:before="100" w:beforeAutospacing="1" w:after="100" w:afterAutospacing="1"/>
        <w:jc w:val="both"/>
        <w:rPr>
          <w:color w:val="000000"/>
          <w:lang w:eastAsia="hr-HR"/>
        </w:rPr>
      </w:pPr>
      <w:r w:rsidRPr="008E5F24">
        <w:rPr>
          <w:color w:val="000000"/>
          <w:lang w:eastAsia="hr-HR"/>
        </w:rPr>
        <w:t>odjeli, na kojima se izvode sveučilišni i stručni studiji, te se ustrojava i izvodi nastavni, znanstveni i visokostručni rad u jednom znanstvenom ili stručnom polju;</w:t>
      </w:r>
    </w:p>
    <w:p w14:paraId="074DA9C4" w14:textId="77777777" w:rsidR="008E5F24" w:rsidRPr="008E5F24" w:rsidRDefault="008E5F24" w:rsidP="008E5F24">
      <w:pPr>
        <w:numPr>
          <w:ilvl w:val="0"/>
          <w:numId w:val="20"/>
        </w:numPr>
        <w:shd w:val="clear" w:color="auto" w:fill="FFFFFF"/>
        <w:spacing w:before="100" w:beforeAutospacing="1" w:after="100" w:afterAutospacing="1"/>
        <w:jc w:val="both"/>
        <w:rPr>
          <w:color w:val="000000"/>
          <w:lang w:eastAsia="hr-HR"/>
        </w:rPr>
      </w:pPr>
      <w:r w:rsidRPr="008E5F24">
        <w:rPr>
          <w:color w:val="000000"/>
          <w:lang w:eastAsia="hr-HR"/>
        </w:rPr>
        <w:lastRenderedPageBreak/>
        <w:t>izvedba nastavnih planova i programa u potpunosti usklađenih s preporukama Bolonjske deklaracije;</w:t>
      </w:r>
    </w:p>
    <w:p w14:paraId="49768ADC" w14:textId="77777777" w:rsidR="008E5F24" w:rsidRPr="008E5F24" w:rsidRDefault="008E5F24" w:rsidP="008E5F24">
      <w:pPr>
        <w:numPr>
          <w:ilvl w:val="0"/>
          <w:numId w:val="20"/>
        </w:numPr>
        <w:shd w:val="clear" w:color="auto" w:fill="FFFFFF"/>
        <w:spacing w:before="100" w:beforeAutospacing="1" w:after="100" w:afterAutospacing="1"/>
        <w:jc w:val="both"/>
        <w:rPr>
          <w:color w:val="000000"/>
          <w:lang w:eastAsia="hr-HR"/>
        </w:rPr>
      </w:pPr>
      <w:r w:rsidRPr="008E5F24">
        <w:rPr>
          <w:color w:val="000000"/>
          <w:lang w:eastAsia="hr-HR"/>
        </w:rPr>
        <w:t>osiguranje prijenosa ECTS-kredita i mobilnost studenata i nastavnika;</w:t>
      </w:r>
    </w:p>
    <w:p w14:paraId="63B9FEC6" w14:textId="77777777" w:rsidR="008E5F24" w:rsidRPr="008E5F24" w:rsidRDefault="008E5F24" w:rsidP="008E5F24">
      <w:pPr>
        <w:numPr>
          <w:ilvl w:val="0"/>
          <w:numId w:val="20"/>
        </w:numPr>
        <w:shd w:val="clear" w:color="auto" w:fill="FFFFFF"/>
        <w:spacing w:before="100" w:beforeAutospacing="1" w:after="100" w:afterAutospacing="1"/>
        <w:jc w:val="both"/>
        <w:rPr>
          <w:color w:val="000000"/>
          <w:lang w:eastAsia="hr-HR"/>
        </w:rPr>
      </w:pPr>
      <w:r w:rsidRPr="008E5F24">
        <w:rPr>
          <w:color w:val="000000"/>
          <w:lang w:eastAsia="hr-HR"/>
        </w:rPr>
        <w:t>poticanje aktivnog uključivanja studenata u nastavni proces, upravna tijela i istraživačke projekte te njihove izvannastavne aktivnosti;</w:t>
      </w:r>
    </w:p>
    <w:p w14:paraId="716FDE80" w14:textId="77777777" w:rsidR="008E5F24" w:rsidRPr="008E5F24" w:rsidRDefault="008E5F24" w:rsidP="008E5F24">
      <w:pPr>
        <w:numPr>
          <w:ilvl w:val="0"/>
          <w:numId w:val="20"/>
        </w:numPr>
        <w:shd w:val="clear" w:color="auto" w:fill="FFFFFF"/>
        <w:spacing w:before="100" w:beforeAutospacing="1" w:after="100" w:afterAutospacing="1"/>
        <w:jc w:val="both"/>
        <w:rPr>
          <w:color w:val="000000"/>
          <w:lang w:eastAsia="hr-HR"/>
        </w:rPr>
      </w:pPr>
      <w:r w:rsidRPr="008E5F24">
        <w:rPr>
          <w:color w:val="000000"/>
          <w:lang w:eastAsia="hr-HR"/>
        </w:rPr>
        <w:t>kontinuirano praćenje kvalitete nastavnih aktivnosti temeljem obostranoga ocjenjivanja nastavnika i studenata;</w:t>
      </w:r>
    </w:p>
    <w:p w14:paraId="6BB7B5E8" w14:textId="77777777" w:rsidR="008E5F24" w:rsidRPr="008E5F24" w:rsidRDefault="008E5F24" w:rsidP="008E5F24">
      <w:pPr>
        <w:numPr>
          <w:ilvl w:val="0"/>
          <w:numId w:val="20"/>
        </w:numPr>
        <w:shd w:val="clear" w:color="auto" w:fill="FFFFFF"/>
        <w:spacing w:before="100" w:beforeAutospacing="1" w:after="100" w:afterAutospacing="1"/>
        <w:jc w:val="both"/>
        <w:rPr>
          <w:color w:val="000000"/>
          <w:lang w:eastAsia="hr-HR"/>
        </w:rPr>
      </w:pPr>
      <w:r w:rsidRPr="008E5F24">
        <w:rPr>
          <w:color w:val="000000"/>
          <w:lang w:eastAsia="hr-HR"/>
        </w:rPr>
        <w:t>poticanje nastavnog i znanstvenog usavršavanja nastavnika i suradnika;</w:t>
      </w:r>
    </w:p>
    <w:p w14:paraId="01CA6438" w14:textId="77777777" w:rsidR="008E5F24" w:rsidRPr="008E5F24" w:rsidRDefault="008E5F24" w:rsidP="008E5F24">
      <w:pPr>
        <w:numPr>
          <w:ilvl w:val="0"/>
          <w:numId w:val="20"/>
        </w:numPr>
        <w:shd w:val="clear" w:color="auto" w:fill="FFFFFF"/>
        <w:spacing w:before="100" w:beforeAutospacing="1" w:after="100" w:afterAutospacing="1"/>
        <w:jc w:val="both"/>
        <w:rPr>
          <w:color w:val="000000"/>
          <w:lang w:eastAsia="hr-HR"/>
        </w:rPr>
      </w:pPr>
      <w:r w:rsidRPr="008E5F24">
        <w:rPr>
          <w:color w:val="000000"/>
          <w:lang w:eastAsia="hr-HR"/>
        </w:rPr>
        <w:t>održavanje i unapređenje unutarnjeg sustava kvalitete rada i poslovanja;</w:t>
      </w:r>
    </w:p>
    <w:p w14:paraId="4C737137" w14:textId="77777777" w:rsidR="008E5F24" w:rsidRPr="008E5F24" w:rsidRDefault="008E5F24" w:rsidP="008E5F24">
      <w:pPr>
        <w:numPr>
          <w:ilvl w:val="0"/>
          <w:numId w:val="20"/>
        </w:numPr>
        <w:shd w:val="clear" w:color="auto" w:fill="FFFFFF"/>
        <w:spacing w:before="100" w:beforeAutospacing="1" w:after="100" w:afterAutospacing="1"/>
        <w:jc w:val="both"/>
        <w:rPr>
          <w:color w:val="000000"/>
          <w:lang w:eastAsia="hr-HR"/>
        </w:rPr>
      </w:pPr>
      <w:r w:rsidRPr="008E5F24">
        <w:rPr>
          <w:color w:val="000000"/>
          <w:lang w:eastAsia="hr-HR"/>
        </w:rPr>
        <w:t>praćenje potreba gospodarstva i društvene zajednice pri izradi novih nastavnih planova i programa kojima je ishodište u tradiciji i kulturi Dubrovnika, ali uz uvođenje novih i suvremenih programa na kojima će se stvarati nove tradicije;</w:t>
      </w:r>
    </w:p>
    <w:p w14:paraId="03CB1FA8" w14:textId="77777777" w:rsidR="008E5F24" w:rsidRPr="008E5F24" w:rsidRDefault="008E5F24" w:rsidP="008E5F24">
      <w:pPr>
        <w:numPr>
          <w:ilvl w:val="0"/>
          <w:numId w:val="20"/>
        </w:numPr>
        <w:shd w:val="clear" w:color="auto" w:fill="FFFFFF"/>
        <w:spacing w:before="100" w:beforeAutospacing="1" w:after="100" w:afterAutospacing="1"/>
        <w:jc w:val="both"/>
        <w:rPr>
          <w:color w:val="000000"/>
          <w:lang w:eastAsia="hr-HR"/>
        </w:rPr>
      </w:pPr>
      <w:r w:rsidRPr="008E5F24">
        <w:rPr>
          <w:color w:val="000000"/>
          <w:lang w:eastAsia="hr-HR"/>
        </w:rPr>
        <w:t>otvorenost prema međunarodnoj suradnji radi privlačenja međunarodnih programa i stranih studenata.</w:t>
      </w:r>
    </w:p>
    <w:p w14:paraId="228A1DE4" w14:textId="77777777" w:rsidR="008E5F24" w:rsidRPr="008E5F24" w:rsidRDefault="008E5F24" w:rsidP="008E5F24">
      <w:pPr>
        <w:shd w:val="clear" w:color="auto" w:fill="FFFFFF"/>
        <w:spacing w:before="100" w:beforeAutospacing="1" w:after="100" w:afterAutospacing="1"/>
        <w:jc w:val="both"/>
        <w:rPr>
          <w:color w:val="000000"/>
          <w:lang w:eastAsia="hr-HR"/>
        </w:rPr>
      </w:pPr>
      <w:r w:rsidRPr="008E5F24">
        <w:rPr>
          <w:color w:val="000000"/>
          <w:lang w:eastAsia="hr-HR"/>
        </w:rPr>
        <w:t xml:space="preserve">U stalnom radnom  odnosu Sveučilište u Dubrovniku ima 247 zaposlenika, od kojih je preko stotinu ima akademski stupanj doktora znanosti. </w:t>
      </w:r>
    </w:p>
    <w:p w14:paraId="27A96D9A" w14:textId="2E545866" w:rsidR="008E5F24" w:rsidRPr="008E5F24" w:rsidRDefault="008E5F24" w:rsidP="008E5F24">
      <w:pPr>
        <w:shd w:val="clear" w:color="auto" w:fill="FFFFFF"/>
        <w:spacing w:before="100" w:beforeAutospacing="1" w:after="100" w:afterAutospacing="1"/>
        <w:jc w:val="both"/>
        <w:rPr>
          <w:bCs/>
          <w:color w:val="000000"/>
        </w:rPr>
      </w:pPr>
      <w:r w:rsidRPr="008E5F24">
        <w:rPr>
          <w:color w:val="000000"/>
        </w:rPr>
        <w:t xml:space="preserve">Sveučilište u Dubrovniku nastoji ostvarivati društvene interese provedbom obrazovanja na preddiplomskim, diplomskim </w:t>
      </w:r>
      <w:r w:rsidR="0072384C">
        <w:rPr>
          <w:color w:val="000000"/>
        </w:rPr>
        <w:t>i</w:t>
      </w:r>
      <w:r w:rsidRPr="008E5F24">
        <w:rPr>
          <w:color w:val="000000"/>
        </w:rPr>
        <w:t xml:space="preserve"> poslijediplomskim studijima, programima cjeloživotnog obrazovanja, provođenjem znanstveno-istraživačkog, umjetničkog i stručnog rada utemeljenoga na načelima održivog razvoja, društveno odgovornog ponašanja i izvrsnosti koje se kontinuirano ugrađuju u lokalnu i u širu društvenu zajednicu uz promicanje međunarodne i međusveučilišne suradnje. U tu svrhu Sveučilište provodi aktivnosti znanstvenog istraživanja i visokog obrazovanja u području prirodnih, tehničkih, društvenih, biotehničkih, humanističkih znanosti, biomedicine, zdravstva i umjetnosti. </w:t>
      </w:r>
    </w:p>
    <w:p w14:paraId="7C7778CC" w14:textId="3EFF0249" w:rsidR="00E32762" w:rsidRDefault="00E32762" w:rsidP="00E32762">
      <w:pPr>
        <w:spacing w:line="276" w:lineRule="auto"/>
        <w:jc w:val="both"/>
        <w:rPr>
          <w:color w:val="000000" w:themeColor="text1"/>
        </w:rPr>
      </w:pPr>
    </w:p>
    <w:p w14:paraId="4C9636DC" w14:textId="05B44610" w:rsidR="00C51C46" w:rsidRPr="00CB21EC" w:rsidRDefault="00C51C46" w:rsidP="00CB21EC">
      <w:pPr>
        <w:pBdr>
          <w:top w:val="dotted" w:sz="4" w:space="1" w:color="808080" w:themeColor="background1" w:themeShade="80"/>
          <w:bottom w:val="dotted" w:sz="4" w:space="1" w:color="808080" w:themeColor="background1" w:themeShade="80"/>
        </w:pBdr>
        <w:shd w:val="clear" w:color="auto" w:fill="D0CECE" w:themeFill="background2" w:themeFillShade="E6"/>
        <w:spacing w:after="160" w:line="259" w:lineRule="auto"/>
        <w:jc w:val="both"/>
        <w:rPr>
          <w:rFonts w:asciiTheme="minorHAnsi" w:eastAsiaTheme="minorHAnsi" w:hAnsiTheme="minorHAnsi" w:cstheme="minorBidi"/>
          <w:b/>
          <w:sz w:val="28"/>
          <w:szCs w:val="22"/>
          <w:lang w:eastAsia="en-US"/>
        </w:rPr>
      </w:pPr>
      <w:r w:rsidRPr="00CB21EC">
        <w:rPr>
          <w:rFonts w:asciiTheme="minorHAnsi" w:eastAsiaTheme="minorHAnsi" w:hAnsiTheme="minorHAnsi" w:cstheme="minorBidi"/>
          <w:b/>
          <w:sz w:val="28"/>
          <w:szCs w:val="22"/>
          <w:lang w:eastAsia="en-US"/>
        </w:rPr>
        <w:t>A6211</w:t>
      </w:r>
      <w:r w:rsidR="003E7923">
        <w:rPr>
          <w:rFonts w:asciiTheme="minorHAnsi" w:eastAsiaTheme="minorHAnsi" w:hAnsiTheme="minorHAnsi" w:cstheme="minorBidi"/>
          <w:b/>
          <w:sz w:val="28"/>
          <w:szCs w:val="22"/>
          <w:lang w:eastAsia="en-US"/>
        </w:rPr>
        <w:t>3</w:t>
      </w:r>
      <w:r w:rsidRPr="00CB21EC">
        <w:rPr>
          <w:rFonts w:asciiTheme="minorHAnsi" w:eastAsiaTheme="minorHAnsi" w:hAnsiTheme="minorHAnsi" w:cstheme="minorBidi"/>
          <w:b/>
          <w:sz w:val="28"/>
          <w:szCs w:val="22"/>
          <w:lang w:eastAsia="en-US"/>
        </w:rPr>
        <w:t xml:space="preserve">8 Redovna djelatnost Sveučilišta u </w:t>
      </w:r>
      <w:r w:rsidR="00A332F5">
        <w:rPr>
          <w:rFonts w:asciiTheme="minorHAnsi" w:eastAsiaTheme="minorHAnsi" w:hAnsiTheme="minorHAnsi" w:cstheme="minorBidi"/>
          <w:b/>
          <w:sz w:val="28"/>
          <w:szCs w:val="22"/>
          <w:lang w:eastAsia="en-US"/>
        </w:rPr>
        <w:t>Dubrovniku</w:t>
      </w:r>
    </w:p>
    <w:p w14:paraId="6DE35FDC" w14:textId="479BC09C" w:rsidR="00C51C46" w:rsidRPr="00F10D05" w:rsidRDefault="00F10D05" w:rsidP="00C51C46">
      <w:pPr>
        <w:jc w:val="both"/>
        <w:rPr>
          <w:i/>
        </w:rPr>
      </w:pPr>
      <w:r w:rsidRPr="00F10D05">
        <w:t>Zakon o znanstvenoj djelatnosti i visokom obrazovanju (Narodne novine, br.: 123/03., 198/03., 105/04., 174/04., 2/07. - Odluka UsRH, 46/07., 45/09., 63/11., 94/13., 139/13. 101/14. - Odluka UsRH); Zakon o osiguravanju kvalitete u znanosti i visokom obrazovanju (Narodne novine br 45/09); Pravilnik o sadržaju dopusnice te uvjetima za izdavanje dopusnice za obavljanje djelatnosti visokog obrazovanja, izvođenje studijskih programa i reakreditacije visokih učilišta (Narodne novine br 24/10); Pravilnik o uvjetima za izdavanje dopusnice za obavljanje znanstvene djelatnosti, uvjetima za reakreditaciju znanstvenih organizacija i sadržaju dopusnice (Narodne novine br 24/10) – članak 6.; Strategija razvoja Sveučilišta u Dubrovniku (2016. – 2025.); Strategija osiguravanja kvalitete na Sveučilištu u Dubrovniku; Pravilnik o studijima i studiranju Sveučilišta u Dubrovniku – pročišćeni tekst; Pravilnik o unutarnjem sustavu osiguravanja i unapređivanja kvalitete – pročišćeni tekst</w:t>
      </w:r>
      <w:r w:rsidR="00FE6534">
        <w:t xml:space="preserve"> </w:t>
      </w:r>
      <w:r w:rsidR="00C51C46" w:rsidRPr="00F10D05">
        <w:rPr>
          <w:i/>
        </w:rPr>
        <w:t>Zakonske i druge pravne osnove</w:t>
      </w:r>
    </w:p>
    <w:p w14:paraId="4FAED59C" w14:textId="6B9C9F24" w:rsidR="00C51C46" w:rsidRPr="00EC5282" w:rsidRDefault="00C51C46" w:rsidP="00C51C46">
      <w:pPr>
        <w:jc w:val="both"/>
        <w:rPr>
          <w:iCs/>
          <w:rtl/>
          <w:cs/>
          <w:lang w:bidi="ta-IN"/>
        </w:rPr>
      </w:pPr>
    </w:p>
    <w:tbl>
      <w:tblPr>
        <w:tblStyle w:val="TableGrid"/>
        <w:tblW w:w="0" w:type="auto"/>
        <w:tblLook w:val="04A0" w:firstRow="1" w:lastRow="0" w:firstColumn="1" w:lastColumn="0" w:noHBand="0" w:noVBand="1"/>
      </w:tblPr>
      <w:tblGrid>
        <w:gridCol w:w="1632"/>
        <w:gridCol w:w="1248"/>
        <w:gridCol w:w="1248"/>
        <w:gridCol w:w="1248"/>
        <w:gridCol w:w="1275"/>
        <w:gridCol w:w="1275"/>
        <w:gridCol w:w="1136"/>
      </w:tblGrid>
      <w:tr w:rsidR="00B264D1" w:rsidRPr="009D005B" w14:paraId="2CAC5A78" w14:textId="77777777" w:rsidTr="002579AE">
        <w:tc>
          <w:tcPr>
            <w:tcW w:w="1632" w:type="dxa"/>
            <w:shd w:val="clear" w:color="auto" w:fill="D0CECE" w:themeFill="background2" w:themeFillShade="E6"/>
          </w:tcPr>
          <w:p w14:paraId="0145A69B" w14:textId="77777777" w:rsidR="00C51C46" w:rsidRPr="009D005B" w:rsidRDefault="00C51C46" w:rsidP="00C51C46">
            <w:pPr>
              <w:jc w:val="both"/>
            </w:pPr>
          </w:p>
          <w:p w14:paraId="68152F1F" w14:textId="77777777" w:rsidR="00C51C46" w:rsidRPr="009D005B" w:rsidRDefault="00C51C46" w:rsidP="00C51C46">
            <w:pPr>
              <w:jc w:val="both"/>
            </w:pPr>
          </w:p>
        </w:tc>
        <w:tc>
          <w:tcPr>
            <w:tcW w:w="1248" w:type="dxa"/>
            <w:shd w:val="clear" w:color="auto" w:fill="D0CECE" w:themeFill="background2" w:themeFillShade="E6"/>
            <w:vAlign w:val="center"/>
          </w:tcPr>
          <w:p w14:paraId="0FBD958D" w14:textId="4EF33717" w:rsidR="00C51C46" w:rsidRPr="006E0C0D" w:rsidRDefault="00EB077E" w:rsidP="00C51C46">
            <w:pPr>
              <w:jc w:val="center"/>
            </w:pPr>
            <w:r>
              <w:t>Izvršenje 2021</w:t>
            </w:r>
            <w:r w:rsidR="00C51C46" w:rsidRPr="006E0C0D">
              <w:t>.</w:t>
            </w:r>
          </w:p>
        </w:tc>
        <w:tc>
          <w:tcPr>
            <w:tcW w:w="1248" w:type="dxa"/>
            <w:shd w:val="clear" w:color="auto" w:fill="D0CECE" w:themeFill="background2" w:themeFillShade="E6"/>
            <w:vAlign w:val="center"/>
          </w:tcPr>
          <w:p w14:paraId="771F06A1" w14:textId="17C7AB9B" w:rsidR="00C51C46" w:rsidRPr="009D005B" w:rsidRDefault="00C51C46" w:rsidP="00C51C46">
            <w:pPr>
              <w:jc w:val="center"/>
            </w:pPr>
            <w:r w:rsidRPr="009D005B">
              <w:t>Plan 20</w:t>
            </w:r>
            <w:r w:rsidR="00EB077E">
              <w:t>22</w:t>
            </w:r>
            <w:r w:rsidRPr="009D005B">
              <w:t>.</w:t>
            </w:r>
          </w:p>
        </w:tc>
        <w:tc>
          <w:tcPr>
            <w:tcW w:w="1248" w:type="dxa"/>
            <w:shd w:val="clear" w:color="auto" w:fill="D0CECE" w:themeFill="background2" w:themeFillShade="E6"/>
            <w:vAlign w:val="center"/>
          </w:tcPr>
          <w:p w14:paraId="7C4E4878" w14:textId="7F858C4D" w:rsidR="00C51C46" w:rsidRPr="009D005B" w:rsidRDefault="00C51C46" w:rsidP="00C51C46">
            <w:pPr>
              <w:jc w:val="center"/>
            </w:pPr>
            <w:r w:rsidRPr="009D005B">
              <w:t>Plan 202</w:t>
            </w:r>
            <w:r w:rsidR="00EB077E">
              <w:t>3</w:t>
            </w:r>
            <w:r w:rsidRPr="009D005B">
              <w:t>.</w:t>
            </w:r>
          </w:p>
        </w:tc>
        <w:tc>
          <w:tcPr>
            <w:tcW w:w="1275" w:type="dxa"/>
            <w:shd w:val="clear" w:color="auto" w:fill="D0CECE" w:themeFill="background2" w:themeFillShade="E6"/>
            <w:vAlign w:val="center"/>
          </w:tcPr>
          <w:p w14:paraId="623F18B4" w14:textId="09795FE2" w:rsidR="00C51C46" w:rsidRPr="009D005B" w:rsidRDefault="00C51C46" w:rsidP="00C51C46">
            <w:pPr>
              <w:jc w:val="center"/>
            </w:pPr>
            <w:r w:rsidRPr="009D005B">
              <w:t>Plan 202</w:t>
            </w:r>
            <w:r w:rsidR="00EB077E">
              <w:t>4</w:t>
            </w:r>
            <w:r w:rsidRPr="009D005B">
              <w:t>.</w:t>
            </w:r>
          </w:p>
        </w:tc>
        <w:tc>
          <w:tcPr>
            <w:tcW w:w="1275" w:type="dxa"/>
            <w:shd w:val="clear" w:color="auto" w:fill="D0CECE" w:themeFill="background2" w:themeFillShade="E6"/>
            <w:vAlign w:val="center"/>
          </w:tcPr>
          <w:p w14:paraId="29A3AE00" w14:textId="158FB5F4" w:rsidR="00C51C46" w:rsidRPr="009D005B" w:rsidRDefault="00C51C46" w:rsidP="00C51C46">
            <w:pPr>
              <w:jc w:val="center"/>
            </w:pPr>
            <w:r w:rsidRPr="009D005B">
              <w:t>Plan 202</w:t>
            </w:r>
            <w:r w:rsidR="00EB077E">
              <w:t>5</w:t>
            </w:r>
            <w:r w:rsidRPr="009D005B">
              <w:t>.</w:t>
            </w:r>
          </w:p>
        </w:tc>
        <w:tc>
          <w:tcPr>
            <w:tcW w:w="1136" w:type="dxa"/>
            <w:shd w:val="clear" w:color="auto" w:fill="D0CECE" w:themeFill="background2" w:themeFillShade="E6"/>
            <w:vAlign w:val="center"/>
          </w:tcPr>
          <w:p w14:paraId="0756EC1A" w14:textId="08DC5149" w:rsidR="00C51C46" w:rsidRPr="009D005B" w:rsidRDefault="00C51C46" w:rsidP="00C51C46">
            <w:pPr>
              <w:jc w:val="center"/>
            </w:pPr>
            <w:r w:rsidRPr="009D005B">
              <w:t>Indeks 2</w:t>
            </w:r>
            <w:r w:rsidR="00EB077E">
              <w:t>3</w:t>
            </w:r>
            <w:r w:rsidRPr="009D005B">
              <w:t>./</w:t>
            </w:r>
            <w:r w:rsidR="00EB077E">
              <w:t>22</w:t>
            </w:r>
            <w:r w:rsidRPr="009D005B">
              <w:t>.</w:t>
            </w:r>
          </w:p>
        </w:tc>
      </w:tr>
      <w:tr w:rsidR="003E7923" w:rsidRPr="009D005B" w14:paraId="7F0A4B29" w14:textId="77777777" w:rsidTr="002579AE">
        <w:tc>
          <w:tcPr>
            <w:tcW w:w="1632" w:type="dxa"/>
          </w:tcPr>
          <w:p w14:paraId="7C441214" w14:textId="7C1DD58C" w:rsidR="00C51C46" w:rsidRDefault="00C51C46" w:rsidP="00C51C46">
            <w:r>
              <w:t>A6211</w:t>
            </w:r>
            <w:r w:rsidR="003E7923">
              <w:t>3</w:t>
            </w:r>
            <w:r>
              <w:t>8</w:t>
            </w:r>
          </w:p>
          <w:p w14:paraId="5A76734A" w14:textId="1AF78332" w:rsidR="00C51C46" w:rsidRPr="009D005B" w:rsidRDefault="00C51C46" w:rsidP="00C51C46">
            <w:r>
              <w:t xml:space="preserve">Redovna djelatnost Sveučilišta u </w:t>
            </w:r>
            <w:r w:rsidR="00CE204C">
              <w:t>Dubrovniku</w:t>
            </w:r>
          </w:p>
        </w:tc>
        <w:tc>
          <w:tcPr>
            <w:tcW w:w="1248" w:type="dxa"/>
            <w:shd w:val="clear" w:color="auto" w:fill="auto"/>
          </w:tcPr>
          <w:p w14:paraId="0D31B8A0" w14:textId="78F7BC1A" w:rsidR="00C51C46" w:rsidRPr="006E0C0D" w:rsidRDefault="00151DE0" w:rsidP="003E7923">
            <w:pPr>
              <w:jc w:val="both"/>
            </w:pPr>
            <w:r>
              <w:t>6.</w:t>
            </w:r>
            <w:r w:rsidR="003E7923">
              <w:t>274</w:t>
            </w:r>
            <w:r>
              <w:t>.</w:t>
            </w:r>
            <w:r w:rsidR="003E7923">
              <w:t>608</w:t>
            </w:r>
          </w:p>
        </w:tc>
        <w:tc>
          <w:tcPr>
            <w:tcW w:w="1248" w:type="dxa"/>
          </w:tcPr>
          <w:p w14:paraId="47848454" w14:textId="2288FC50" w:rsidR="00C51C46" w:rsidRPr="009D005B" w:rsidRDefault="003E7923" w:rsidP="003E7923">
            <w:pPr>
              <w:jc w:val="both"/>
            </w:pPr>
            <w:r>
              <w:t>6</w:t>
            </w:r>
            <w:r w:rsidR="00D50F40">
              <w:t>.</w:t>
            </w:r>
            <w:r>
              <w:t>441.017</w:t>
            </w:r>
          </w:p>
        </w:tc>
        <w:tc>
          <w:tcPr>
            <w:tcW w:w="1248" w:type="dxa"/>
          </w:tcPr>
          <w:p w14:paraId="41D558D1" w14:textId="584B2278" w:rsidR="00C51C46" w:rsidRPr="009D005B" w:rsidRDefault="00B264D1" w:rsidP="00B264D1">
            <w:pPr>
              <w:jc w:val="both"/>
            </w:pPr>
            <w:r>
              <w:t>7</w:t>
            </w:r>
            <w:r w:rsidR="00280F85">
              <w:t>.</w:t>
            </w:r>
            <w:r>
              <w:t>404</w:t>
            </w:r>
            <w:r w:rsidR="00280F85">
              <w:t>.</w:t>
            </w:r>
            <w:r>
              <w:t>611</w:t>
            </w:r>
          </w:p>
        </w:tc>
        <w:tc>
          <w:tcPr>
            <w:tcW w:w="1275" w:type="dxa"/>
          </w:tcPr>
          <w:p w14:paraId="30BD1CA6" w14:textId="616B6965" w:rsidR="00C51C46" w:rsidRPr="009D005B" w:rsidRDefault="00B264D1" w:rsidP="00B264D1">
            <w:pPr>
              <w:jc w:val="both"/>
            </w:pPr>
            <w:r>
              <w:t>7</w:t>
            </w:r>
            <w:r w:rsidR="00D50F40">
              <w:t>.</w:t>
            </w:r>
            <w:r>
              <w:t>438</w:t>
            </w:r>
            <w:r w:rsidR="00D50F40">
              <w:t>.</w:t>
            </w:r>
            <w:r>
              <w:t>558</w:t>
            </w:r>
          </w:p>
        </w:tc>
        <w:tc>
          <w:tcPr>
            <w:tcW w:w="1275" w:type="dxa"/>
          </w:tcPr>
          <w:p w14:paraId="6200D429" w14:textId="55815913" w:rsidR="00C51C46" w:rsidRPr="009D005B" w:rsidRDefault="00B264D1" w:rsidP="00B264D1">
            <w:pPr>
              <w:jc w:val="both"/>
            </w:pPr>
            <w:r>
              <w:t>7</w:t>
            </w:r>
            <w:r w:rsidR="00D50F40">
              <w:t>.</w:t>
            </w:r>
            <w:r>
              <w:t>472</w:t>
            </w:r>
            <w:r w:rsidR="00D50F40">
              <w:t>.</w:t>
            </w:r>
            <w:r>
              <w:t>665</w:t>
            </w:r>
          </w:p>
        </w:tc>
        <w:tc>
          <w:tcPr>
            <w:tcW w:w="1136" w:type="dxa"/>
          </w:tcPr>
          <w:p w14:paraId="54D80A27" w14:textId="3A53A3A3" w:rsidR="00C51C46" w:rsidRPr="009D005B" w:rsidRDefault="004830EC" w:rsidP="00880571">
            <w:pPr>
              <w:jc w:val="both"/>
            </w:pPr>
            <w:r>
              <w:t>1</w:t>
            </w:r>
            <w:r w:rsidR="00880571">
              <w:t>15</w:t>
            </w:r>
          </w:p>
        </w:tc>
      </w:tr>
    </w:tbl>
    <w:p w14:paraId="48F271A9" w14:textId="14A47DE6" w:rsidR="00C51C46" w:rsidRPr="00387F10" w:rsidRDefault="00C51C46" w:rsidP="00C51C46">
      <w:pPr>
        <w:spacing w:before="240"/>
        <w:jc w:val="both"/>
      </w:pPr>
      <w:r w:rsidRPr="00387F10">
        <w:lastRenderedPageBreak/>
        <w:t>Ova aktivnost/ projekt sastoji se od sljedećih elemenata/ podaktivnosti:</w:t>
      </w:r>
    </w:p>
    <w:p w14:paraId="17FF2D59" w14:textId="0AB97898" w:rsidR="00C51C46" w:rsidRPr="00387F10" w:rsidRDefault="00C51C46" w:rsidP="002579AE">
      <w:pPr>
        <w:pStyle w:val="ListParagraph"/>
        <w:numPr>
          <w:ilvl w:val="0"/>
          <w:numId w:val="12"/>
        </w:numPr>
        <w:jc w:val="both"/>
        <w:rPr>
          <w:rFonts w:ascii="Times New Roman" w:hAnsi="Times New Roman" w:cs="Times New Roman"/>
          <w:sz w:val="24"/>
          <w:szCs w:val="24"/>
        </w:rPr>
      </w:pPr>
      <w:r w:rsidRPr="00387F10">
        <w:rPr>
          <w:rFonts w:ascii="Times New Roman" w:hAnsi="Times New Roman" w:cs="Times New Roman"/>
          <w:sz w:val="24"/>
          <w:szCs w:val="24"/>
        </w:rPr>
        <w:t>Financiranja rashoda za plaće</w:t>
      </w:r>
    </w:p>
    <w:p w14:paraId="337B77B7" w14:textId="4C1E93F0" w:rsidR="00C51C46" w:rsidRPr="00387F10" w:rsidRDefault="00C51C46" w:rsidP="002579AE">
      <w:pPr>
        <w:pStyle w:val="ListParagraph"/>
        <w:numPr>
          <w:ilvl w:val="0"/>
          <w:numId w:val="12"/>
        </w:numPr>
        <w:jc w:val="both"/>
        <w:rPr>
          <w:rFonts w:ascii="Times New Roman" w:hAnsi="Times New Roman" w:cs="Times New Roman"/>
          <w:sz w:val="24"/>
          <w:szCs w:val="24"/>
        </w:rPr>
      </w:pPr>
      <w:r w:rsidRPr="00387F10">
        <w:rPr>
          <w:rFonts w:ascii="Times New Roman" w:hAnsi="Times New Roman" w:cs="Times New Roman"/>
          <w:sz w:val="24"/>
          <w:szCs w:val="24"/>
        </w:rPr>
        <w:t>Financiranja materijalnih prava zaposlenih</w:t>
      </w:r>
    </w:p>
    <w:p w14:paraId="22AC6CCB" w14:textId="77777777" w:rsidR="00C51C46" w:rsidRPr="00387F10" w:rsidRDefault="00C51C46" w:rsidP="002579AE">
      <w:pPr>
        <w:pStyle w:val="ListParagraph"/>
        <w:numPr>
          <w:ilvl w:val="0"/>
          <w:numId w:val="12"/>
        </w:numPr>
        <w:jc w:val="both"/>
        <w:rPr>
          <w:rFonts w:ascii="Times New Roman" w:hAnsi="Times New Roman" w:cs="Times New Roman"/>
          <w:i/>
          <w:sz w:val="24"/>
          <w:szCs w:val="24"/>
        </w:rPr>
      </w:pPr>
      <w:r w:rsidRPr="00387F10">
        <w:rPr>
          <w:rFonts w:ascii="Times New Roman" w:hAnsi="Times New Roman" w:cs="Times New Roman"/>
          <w:sz w:val="24"/>
          <w:szCs w:val="24"/>
        </w:rPr>
        <w:t>Financiranje rada studentskog zbora</w:t>
      </w:r>
    </w:p>
    <w:p w14:paraId="3187F1E7" w14:textId="25978AE7" w:rsidR="00387F10" w:rsidRPr="00387F10" w:rsidRDefault="00387F10" w:rsidP="00387F10">
      <w:pPr>
        <w:jc w:val="both"/>
        <w:rPr>
          <w:lang w:eastAsia="hr-HR"/>
        </w:rPr>
      </w:pPr>
      <w:r w:rsidRPr="00387F10">
        <w:t>U okviru Redovnih djelatnosti Sveučilišta izračun potrebnih sredstava temelji se na broju zaposlenih iz sustava Centralnog obračuna plaća, broju napredovanja redovitih profesora koji ispunjavaju zakonske uvjete sukladno prijelaznoj odredbi iz Zakona te izračunu materijalnih prava na temelju važećih propisa. Na dan 3</w:t>
      </w:r>
      <w:r>
        <w:t>1</w:t>
      </w:r>
      <w:r w:rsidRPr="00387F10">
        <w:t>.</w:t>
      </w:r>
      <w:r>
        <w:t>08.</w:t>
      </w:r>
      <w:r w:rsidRPr="00387F10">
        <w:t>.20</w:t>
      </w:r>
      <w:r>
        <w:t>22</w:t>
      </w:r>
      <w:r w:rsidRPr="00387F10">
        <w:t>.  24</w:t>
      </w:r>
      <w:r>
        <w:t>7</w:t>
      </w:r>
      <w:r w:rsidRPr="00387F10">
        <w:t xml:space="preserve">  zaposlenika Sveučilišta u Dubrovniku je u sustavu Centralnog obračuna plaća.</w:t>
      </w:r>
    </w:p>
    <w:p w14:paraId="4757F506" w14:textId="77777777" w:rsidR="00387F10" w:rsidRPr="00387F10" w:rsidRDefault="00387F10" w:rsidP="00387F10">
      <w:pPr>
        <w:ind w:left="720"/>
        <w:jc w:val="both"/>
      </w:pPr>
    </w:p>
    <w:p w14:paraId="145FB34F" w14:textId="77777777" w:rsidR="00387F10" w:rsidRPr="00387F10" w:rsidRDefault="00387F10" w:rsidP="00387F10">
      <w:pPr>
        <w:jc w:val="both"/>
      </w:pPr>
      <w:r w:rsidRPr="00387F10">
        <w:t xml:space="preserve">Limite za aktivnost redovne djelatnosti na izvoru 11, te  raspodjelu po kontima na 4. razini odredilo je Ministarstvo znanosti i obrazovanja. </w:t>
      </w:r>
    </w:p>
    <w:p w14:paraId="366EA628" w14:textId="77777777" w:rsidR="00387F10" w:rsidRPr="00387F10" w:rsidRDefault="00387F10" w:rsidP="00387F10">
      <w:pPr>
        <w:jc w:val="both"/>
        <w:rPr>
          <w:rFonts w:ascii="Arial" w:hAnsi="Arial" w:cs="Arial"/>
        </w:rPr>
      </w:pPr>
      <w:r w:rsidRPr="00387F10">
        <w:t>U okviru utvrđenih limita planiraju se rashodi za plaće i materijalna prava zaposlenih sukladno zakonu i kolektivnom ugovoru, te sredstva za rad studentskog zbora (konto 3811), te studentska prehrana i smještaj</w:t>
      </w:r>
      <w:r w:rsidRPr="00387F10">
        <w:rPr>
          <w:rFonts w:ascii="Arial" w:hAnsi="Arial" w:cs="Arial"/>
        </w:rPr>
        <w:t xml:space="preserve"> (konto 3811).</w:t>
      </w:r>
    </w:p>
    <w:p w14:paraId="4DE918CF" w14:textId="77777777" w:rsidR="00387F10" w:rsidRPr="00387F10" w:rsidRDefault="00387F10" w:rsidP="00387F10">
      <w:pPr>
        <w:ind w:left="720"/>
        <w:jc w:val="both"/>
        <w:rPr>
          <w:rFonts w:ascii="Arial" w:hAnsi="Arial" w:cs="Arial"/>
          <w:b/>
        </w:rPr>
      </w:pPr>
    </w:p>
    <w:p w14:paraId="20C11122" w14:textId="77777777" w:rsidR="00255FB2" w:rsidRDefault="00255FB2" w:rsidP="00C51C46">
      <w:pPr>
        <w:jc w:val="both"/>
        <w:rPr>
          <w:i/>
        </w:rPr>
      </w:pPr>
    </w:p>
    <w:p w14:paraId="2D2E87A3" w14:textId="77777777" w:rsidR="004B2CB9" w:rsidRDefault="004B2CB9" w:rsidP="00C51C46">
      <w:pPr>
        <w:jc w:val="both"/>
        <w:rPr>
          <w:b/>
          <w:i/>
        </w:rPr>
      </w:pPr>
    </w:p>
    <w:p w14:paraId="424B5DB0" w14:textId="65168D10" w:rsidR="00C51C46" w:rsidRPr="00241B6A" w:rsidRDefault="00C51C46" w:rsidP="00C51C46">
      <w:pPr>
        <w:jc w:val="both"/>
        <w:rPr>
          <w:b/>
        </w:rPr>
      </w:pPr>
      <w:r w:rsidRPr="00241B6A">
        <w:rPr>
          <w:b/>
        </w:rPr>
        <w:t>Izračun financijskog plana:</w:t>
      </w:r>
    </w:p>
    <w:p w14:paraId="6056094B" w14:textId="13DBBE5F" w:rsidR="00C51C46" w:rsidRPr="00241B6A" w:rsidRDefault="00C51C46" w:rsidP="00A45D8E">
      <w:pPr>
        <w:pStyle w:val="ListParagraph"/>
        <w:numPr>
          <w:ilvl w:val="0"/>
          <w:numId w:val="13"/>
        </w:numPr>
        <w:spacing w:after="0"/>
        <w:jc w:val="both"/>
        <w:rPr>
          <w:rFonts w:ascii="Times New Roman" w:hAnsi="Times New Roman" w:cs="Times New Roman"/>
          <w:sz w:val="24"/>
          <w:szCs w:val="24"/>
        </w:rPr>
      </w:pPr>
      <w:r w:rsidRPr="00241B6A">
        <w:rPr>
          <w:rFonts w:ascii="Times New Roman" w:hAnsi="Times New Roman" w:cs="Times New Roman"/>
          <w:sz w:val="24"/>
          <w:szCs w:val="24"/>
        </w:rPr>
        <w:t>Element/ podaktivnost 1:</w:t>
      </w:r>
    </w:p>
    <w:p w14:paraId="5FAF72B6" w14:textId="785DBBF2" w:rsidR="00C51C46" w:rsidRPr="00241B6A" w:rsidRDefault="00A45D8E" w:rsidP="00C51C46">
      <w:pPr>
        <w:ind w:left="640"/>
        <w:jc w:val="both"/>
      </w:pPr>
      <w:r w:rsidRPr="00241B6A">
        <w:t>Planirani b</w:t>
      </w:r>
      <w:r w:rsidR="00C51C46" w:rsidRPr="00241B6A">
        <w:t>roj zaposlenih u 202</w:t>
      </w:r>
      <w:r w:rsidR="00B45127" w:rsidRPr="00241B6A">
        <w:t>3</w:t>
      </w:r>
      <w:r w:rsidR="00C51C46" w:rsidRPr="00241B6A">
        <w:t>.g. x iznos prosječne mjesečne plaće x 12 mjeseci + ostali rashodi za  zaposlene=</w:t>
      </w:r>
      <w:r w:rsidR="00F00957">
        <w:t>7.018.408</w:t>
      </w:r>
    </w:p>
    <w:p w14:paraId="68D0A29B" w14:textId="3F003930" w:rsidR="00C51C46" w:rsidRPr="00241B6A" w:rsidRDefault="00C51C46" w:rsidP="00C51C46">
      <w:pPr>
        <w:ind w:left="640"/>
        <w:jc w:val="both"/>
      </w:pPr>
      <w:r w:rsidRPr="00241B6A">
        <w:t>Broj zaposlenih u 202</w:t>
      </w:r>
      <w:r w:rsidR="001301BD" w:rsidRPr="00241B6A">
        <w:t>4</w:t>
      </w:r>
      <w:r w:rsidRPr="00241B6A">
        <w:t>.g. x iznos prosječne mjesečne plaće x 12 mjeseci + ostali rashodi za  zaposlene=</w:t>
      </w:r>
      <w:r w:rsidR="00F00957">
        <w:t>7.052.355</w:t>
      </w:r>
    </w:p>
    <w:p w14:paraId="26FB0321" w14:textId="069EAD19" w:rsidR="00C51C46" w:rsidRDefault="00C51C46" w:rsidP="00C51C46">
      <w:pPr>
        <w:ind w:left="640"/>
        <w:jc w:val="both"/>
      </w:pPr>
      <w:r w:rsidRPr="00241B6A">
        <w:t>Broj zaposlenih u 202</w:t>
      </w:r>
      <w:r w:rsidR="001301BD" w:rsidRPr="00241B6A">
        <w:t>5</w:t>
      </w:r>
      <w:r w:rsidRPr="00241B6A">
        <w:t>.g. x iznos prosječne mjesečne plaće x 12 mjeseci + ostali rashodi za  zaposlene=</w:t>
      </w:r>
      <w:r w:rsidR="00F00957">
        <w:t>7.086.462</w:t>
      </w:r>
    </w:p>
    <w:p w14:paraId="455C779C" w14:textId="77777777" w:rsidR="006A1066" w:rsidRPr="00241B6A" w:rsidRDefault="006A1066" w:rsidP="00C51C46">
      <w:pPr>
        <w:ind w:left="640"/>
        <w:jc w:val="both"/>
      </w:pPr>
    </w:p>
    <w:p w14:paraId="06B3D545" w14:textId="2744202A" w:rsidR="00C51C46" w:rsidRPr="00241B6A" w:rsidRDefault="00C51C46" w:rsidP="00A45D8E">
      <w:pPr>
        <w:pStyle w:val="ListParagraph"/>
        <w:numPr>
          <w:ilvl w:val="0"/>
          <w:numId w:val="13"/>
        </w:numPr>
        <w:spacing w:after="0"/>
        <w:jc w:val="both"/>
        <w:rPr>
          <w:rFonts w:ascii="Times New Roman" w:hAnsi="Times New Roman" w:cs="Times New Roman"/>
          <w:sz w:val="24"/>
          <w:szCs w:val="24"/>
        </w:rPr>
      </w:pPr>
      <w:r w:rsidRPr="00241B6A">
        <w:rPr>
          <w:rFonts w:ascii="Times New Roman" w:hAnsi="Times New Roman" w:cs="Times New Roman"/>
          <w:sz w:val="24"/>
          <w:szCs w:val="24"/>
        </w:rPr>
        <w:t>Element/ podaktivnost 2:</w:t>
      </w:r>
    </w:p>
    <w:p w14:paraId="0765640E" w14:textId="77777777" w:rsidR="006A1066" w:rsidRDefault="00C51C46" w:rsidP="008E3117">
      <w:pPr>
        <w:pStyle w:val="ListParagraph"/>
        <w:jc w:val="both"/>
        <w:rPr>
          <w:rFonts w:ascii="Times New Roman" w:hAnsi="Times New Roman" w:cs="Times New Roman"/>
          <w:sz w:val="24"/>
          <w:szCs w:val="24"/>
        </w:rPr>
      </w:pPr>
      <w:r w:rsidRPr="00241B6A">
        <w:rPr>
          <w:rFonts w:ascii="Times New Roman" w:hAnsi="Times New Roman" w:cs="Times New Roman"/>
          <w:sz w:val="24"/>
          <w:szCs w:val="24"/>
        </w:rPr>
        <w:t xml:space="preserve">Materijalna prava zaposlenih planiraju se u visini </w:t>
      </w:r>
      <w:r w:rsidR="008E3117">
        <w:rPr>
          <w:rFonts w:ascii="Times New Roman" w:hAnsi="Times New Roman" w:cs="Times New Roman"/>
          <w:sz w:val="24"/>
          <w:szCs w:val="24"/>
        </w:rPr>
        <w:t>167.826 EUR</w:t>
      </w:r>
      <w:r w:rsidRPr="00241B6A">
        <w:rPr>
          <w:rFonts w:ascii="Times New Roman" w:hAnsi="Times New Roman" w:cs="Times New Roman"/>
          <w:sz w:val="24"/>
          <w:szCs w:val="24"/>
        </w:rPr>
        <w:t xml:space="preserve"> </w:t>
      </w:r>
      <w:r w:rsidR="008E3117">
        <w:rPr>
          <w:rFonts w:ascii="Times New Roman" w:hAnsi="Times New Roman" w:cs="Times New Roman"/>
          <w:sz w:val="24"/>
          <w:szCs w:val="24"/>
        </w:rPr>
        <w:t xml:space="preserve">za </w:t>
      </w:r>
      <w:r w:rsidRPr="00241B6A">
        <w:rPr>
          <w:rFonts w:ascii="Times New Roman" w:hAnsi="Times New Roman" w:cs="Times New Roman"/>
          <w:sz w:val="24"/>
          <w:szCs w:val="24"/>
        </w:rPr>
        <w:t>202</w:t>
      </w:r>
      <w:r w:rsidR="008E3117">
        <w:rPr>
          <w:rFonts w:ascii="Times New Roman" w:hAnsi="Times New Roman" w:cs="Times New Roman"/>
          <w:sz w:val="24"/>
          <w:szCs w:val="24"/>
        </w:rPr>
        <w:t>3</w:t>
      </w:r>
      <w:r w:rsidRPr="00241B6A">
        <w:rPr>
          <w:rFonts w:ascii="Times New Roman" w:hAnsi="Times New Roman" w:cs="Times New Roman"/>
          <w:sz w:val="24"/>
          <w:szCs w:val="24"/>
        </w:rPr>
        <w:t>.</w:t>
      </w:r>
      <w:r w:rsidR="008E3117">
        <w:rPr>
          <w:rFonts w:ascii="Times New Roman" w:hAnsi="Times New Roman" w:cs="Times New Roman"/>
          <w:sz w:val="24"/>
          <w:szCs w:val="24"/>
        </w:rPr>
        <w:t>,2024. i 2025.</w:t>
      </w:r>
      <w:r w:rsidRPr="00241B6A">
        <w:rPr>
          <w:rFonts w:ascii="Times New Roman" w:hAnsi="Times New Roman" w:cs="Times New Roman"/>
          <w:sz w:val="24"/>
          <w:szCs w:val="24"/>
        </w:rPr>
        <w:t xml:space="preserve"> </w:t>
      </w:r>
    </w:p>
    <w:p w14:paraId="4FEB4B1E" w14:textId="3E8EF8BC" w:rsidR="00C51C46" w:rsidRPr="006A1066" w:rsidRDefault="006A1066" w:rsidP="006A1066">
      <w:pPr>
        <w:jc w:val="both"/>
      </w:pPr>
      <w:r>
        <w:t xml:space="preserve">        </w:t>
      </w:r>
      <w:r w:rsidRPr="006A1066">
        <w:t xml:space="preserve">3. </w:t>
      </w:r>
      <w:r w:rsidR="00C51C46" w:rsidRPr="006A1066">
        <w:t>Element/ podaktivnost 3</w:t>
      </w:r>
    </w:p>
    <w:p w14:paraId="10AD950B" w14:textId="62297F4D" w:rsidR="00C51C46" w:rsidRPr="00241B6A" w:rsidRDefault="00C51C46" w:rsidP="00C51C46">
      <w:pPr>
        <w:pStyle w:val="ListParagraph"/>
        <w:spacing w:after="0"/>
        <w:jc w:val="both"/>
        <w:rPr>
          <w:rFonts w:ascii="Times New Roman" w:hAnsi="Times New Roman" w:cs="Times New Roman"/>
          <w:sz w:val="24"/>
          <w:szCs w:val="24"/>
        </w:rPr>
      </w:pPr>
      <w:r w:rsidRPr="00241B6A">
        <w:rPr>
          <w:rFonts w:ascii="Times New Roman" w:hAnsi="Times New Roman" w:cs="Times New Roman"/>
          <w:sz w:val="24"/>
          <w:szCs w:val="24"/>
        </w:rPr>
        <w:t xml:space="preserve">Sredstva za rad </w:t>
      </w:r>
      <w:r w:rsidR="004308F8" w:rsidRPr="00241B6A">
        <w:rPr>
          <w:rFonts w:ascii="Times New Roman" w:hAnsi="Times New Roman" w:cs="Times New Roman"/>
          <w:sz w:val="24"/>
          <w:szCs w:val="24"/>
        </w:rPr>
        <w:t>S</w:t>
      </w:r>
      <w:r w:rsidRPr="00241B6A">
        <w:rPr>
          <w:rFonts w:ascii="Times New Roman" w:hAnsi="Times New Roman" w:cs="Times New Roman"/>
          <w:sz w:val="24"/>
          <w:szCs w:val="24"/>
        </w:rPr>
        <w:t xml:space="preserve">tudentskog zbora planiraju se u visini </w:t>
      </w:r>
      <w:r w:rsidR="004234EC" w:rsidRPr="00241B6A">
        <w:rPr>
          <w:rFonts w:ascii="Times New Roman" w:hAnsi="Times New Roman" w:cs="Times New Roman"/>
          <w:sz w:val="24"/>
          <w:szCs w:val="24"/>
        </w:rPr>
        <w:t>39.817</w:t>
      </w:r>
      <w:r w:rsidR="00241B6A" w:rsidRPr="00241B6A">
        <w:rPr>
          <w:rFonts w:ascii="Times New Roman" w:hAnsi="Times New Roman" w:cs="Times New Roman"/>
          <w:sz w:val="24"/>
          <w:szCs w:val="24"/>
        </w:rPr>
        <w:t xml:space="preserve"> EUR</w:t>
      </w:r>
      <w:r w:rsidRPr="00241B6A">
        <w:rPr>
          <w:rFonts w:ascii="Times New Roman" w:hAnsi="Times New Roman" w:cs="Times New Roman"/>
          <w:sz w:val="24"/>
          <w:szCs w:val="24"/>
        </w:rPr>
        <w:t xml:space="preserve"> u 202</w:t>
      </w:r>
      <w:r w:rsidR="00241B6A" w:rsidRPr="00241B6A">
        <w:rPr>
          <w:rFonts w:ascii="Times New Roman" w:hAnsi="Times New Roman" w:cs="Times New Roman"/>
          <w:sz w:val="24"/>
          <w:szCs w:val="24"/>
        </w:rPr>
        <w:t>3</w:t>
      </w:r>
      <w:r w:rsidRPr="00241B6A">
        <w:rPr>
          <w:rFonts w:ascii="Times New Roman" w:hAnsi="Times New Roman" w:cs="Times New Roman"/>
          <w:sz w:val="24"/>
          <w:szCs w:val="24"/>
        </w:rPr>
        <w:t>.g.,u 202</w:t>
      </w:r>
      <w:r w:rsidR="00241B6A" w:rsidRPr="00241B6A">
        <w:rPr>
          <w:rFonts w:ascii="Times New Roman" w:hAnsi="Times New Roman" w:cs="Times New Roman"/>
          <w:sz w:val="24"/>
          <w:szCs w:val="24"/>
        </w:rPr>
        <w:t>4</w:t>
      </w:r>
      <w:r w:rsidRPr="00241B6A">
        <w:rPr>
          <w:rFonts w:ascii="Times New Roman" w:hAnsi="Times New Roman" w:cs="Times New Roman"/>
          <w:sz w:val="24"/>
          <w:szCs w:val="24"/>
        </w:rPr>
        <w:t>.g</w:t>
      </w:r>
      <w:r w:rsidR="00241B6A" w:rsidRPr="00241B6A">
        <w:rPr>
          <w:rFonts w:ascii="Times New Roman" w:hAnsi="Times New Roman" w:cs="Times New Roman"/>
          <w:sz w:val="24"/>
          <w:szCs w:val="24"/>
        </w:rPr>
        <w:t xml:space="preserve"> i</w:t>
      </w:r>
      <w:r w:rsidRPr="00241B6A">
        <w:rPr>
          <w:rFonts w:ascii="Times New Roman" w:hAnsi="Times New Roman" w:cs="Times New Roman"/>
          <w:sz w:val="24"/>
          <w:szCs w:val="24"/>
        </w:rPr>
        <w:t xml:space="preserve"> 202</w:t>
      </w:r>
      <w:r w:rsidR="00241B6A" w:rsidRPr="00241B6A">
        <w:rPr>
          <w:rFonts w:ascii="Times New Roman" w:hAnsi="Times New Roman" w:cs="Times New Roman"/>
          <w:sz w:val="24"/>
          <w:szCs w:val="24"/>
        </w:rPr>
        <w:t xml:space="preserve">5 </w:t>
      </w:r>
      <w:r w:rsidRPr="00241B6A">
        <w:rPr>
          <w:rFonts w:ascii="Times New Roman" w:hAnsi="Times New Roman" w:cs="Times New Roman"/>
          <w:sz w:val="24"/>
          <w:szCs w:val="24"/>
        </w:rPr>
        <w:t>.g.</w:t>
      </w:r>
    </w:p>
    <w:p w14:paraId="6E3B83FC" w14:textId="77777777" w:rsidR="00C51C46" w:rsidRDefault="00C51C46" w:rsidP="00C51C46">
      <w:pPr>
        <w:pStyle w:val="ListParagraph"/>
        <w:jc w:val="both"/>
        <w:rPr>
          <w:i/>
        </w:rPr>
      </w:pPr>
    </w:p>
    <w:p w14:paraId="7C435533" w14:textId="77777777" w:rsidR="00C51C46" w:rsidRPr="00561C5C" w:rsidRDefault="00C51C46" w:rsidP="00C51C46">
      <w:pPr>
        <w:pStyle w:val="ListParagraph"/>
        <w:jc w:val="both"/>
        <w:rPr>
          <w:i/>
        </w:rPr>
      </w:pPr>
    </w:p>
    <w:p w14:paraId="5293E6A2" w14:textId="77777777" w:rsidR="00C51C46" w:rsidRDefault="00C51C46" w:rsidP="00C51C46">
      <w:pPr>
        <w:jc w:val="both"/>
      </w:pPr>
    </w:p>
    <w:p w14:paraId="068B6F91" w14:textId="1950B830" w:rsidR="00C51C46" w:rsidRPr="00CB21EC" w:rsidRDefault="00C51C46" w:rsidP="00CB21EC">
      <w:pPr>
        <w:pBdr>
          <w:top w:val="dotted" w:sz="4" w:space="1" w:color="808080" w:themeColor="background1" w:themeShade="80"/>
          <w:bottom w:val="dotted" w:sz="4" w:space="1" w:color="808080" w:themeColor="background1" w:themeShade="80"/>
        </w:pBdr>
        <w:shd w:val="clear" w:color="auto" w:fill="D0CECE" w:themeFill="background2" w:themeFillShade="E6"/>
        <w:spacing w:after="160" w:line="259" w:lineRule="auto"/>
        <w:jc w:val="both"/>
        <w:rPr>
          <w:rFonts w:asciiTheme="minorHAnsi" w:eastAsiaTheme="minorHAnsi" w:hAnsiTheme="minorHAnsi" w:cstheme="minorBidi"/>
          <w:b/>
          <w:sz w:val="28"/>
          <w:szCs w:val="22"/>
          <w:lang w:eastAsia="en-US"/>
        </w:rPr>
      </w:pPr>
      <w:r w:rsidRPr="00CB21EC">
        <w:rPr>
          <w:rFonts w:asciiTheme="minorHAnsi" w:eastAsiaTheme="minorHAnsi" w:hAnsiTheme="minorHAnsi" w:cstheme="minorBidi"/>
          <w:b/>
          <w:sz w:val="28"/>
          <w:szCs w:val="22"/>
          <w:lang w:eastAsia="en-US"/>
        </w:rPr>
        <w:t xml:space="preserve">A622122 Programsko financiranje javnih visokih učilišta </w:t>
      </w:r>
    </w:p>
    <w:p w14:paraId="787E0507" w14:textId="00D2027F" w:rsidR="00C51C46" w:rsidRPr="00241B6A" w:rsidRDefault="00C51C46" w:rsidP="00C51C46">
      <w:pPr>
        <w:jc w:val="both"/>
      </w:pPr>
      <w:r w:rsidRPr="00241B6A">
        <w:t>Zakonske i druge pravne osnove</w:t>
      </w:r>
    </w:p>
    <w:p w14:paraId="61B7DC46" w14:textId="26C7EF33" w:rsidR="00C51C46" w:rsidRPr="00E32762" w:rsidRDefault="00C51C46" w:rsidP="00E32762">
      <w:pPr>
        <w:pStyle w:val="NormalWeb"/>
        <w:numPr>
          <w:ilvl w:val="0"/>
          <w:numId w:val="18"/>
        </w:numPr>
        <w:spacing w:before="0" w:beforeAutospacing="0" w:after="0" w:afterAutospacing="0" w:line="276" w:lineRule="auto"/>
        <w:jc w:val="both"/>
        <w:rPr>
          <w:rFonts w:ascii="Times New Roman" w:hAnsi="Times New Roman"/>
          <w:sz w:val="24"/>
          <w:szCs w:val="24"/>
        </w:rPr>
      </w:pPr>
      <w:proofErr w:type="spellStart"/>
      <w:r w:rsidRPr="00E32762">
        <w:rPr>
          <w:rFonts w:ascii="Times New Roman" w:hAnsi="Times New Roman"/>
          <w:sz w:val="24"/>
          <w:szCs w:val="24"/>
        </w:rPr>
        <w:t>Zakon</w:t>
      </w:r>
      <w:proofErr w:type="spellEnd"/>
      <w:r w:rsidRPr="00E32762">
        <w:rPr>
          <w:rFonts w:ascii="Times New Roman" w:hAnsi="Times New Roman"/>
          <w:sz w:val="24"/>
          <w:szCs w:val="24"/>
        </w:rPr>
        <w:t xml:space="preserve"> o </w:t>
      </w:r>
      <w:proofErr w:type="spellStart"/>
      <w:r w:rsidRPr="00E32762">
        <w:rPr>
          <w:rFonts w:ascii="Times New Roman" w:hAnsi="Times New Roman"/>
          <w:sz w:val="24"/>
          <w:szCs w:val="24"/>
        </w:rPr>
        <w:t>znanstvenoj</w:t>
      </w:r>
      <w:proofErr w:type="spellEnd"/>
      <w:r w:rsidRPr="00E32762">
        <w:rPr>
          <w:rFonts w:ascii="Times New Roman" w:hAnsi="Times New Roman"/>
          <w:sz w:val="24"/>
          <w:szCs w:val="24"/>
        </w:rPr>
        <w:t xml:space="preserve"> </w:t>
      </w:r>
      <w:proofErr w:type="spellStart"/>
      <w:r w:rsidRPr="00E32762">
        <w:rPr>
          <w:rFonts w:ascii="Times New Roman" w:hAnsi="Times New Roman"/>
          <w:sz w:val="24"/>
          <w:szCs w:val="24"/>
        </w:rPr>
        <w:t>djelatnosti</w:t>
      </w:r>
      <w:proofErr w:type="spellEnd"/>
      <w:r w:rsidRPr="00E32762">
        <w:rPr>
          <w:rFonts w:ascii="Times New Roman" w:hAnsi="Times New Roman"/>
          <w:sz w:val="24"/>
          <w:szCs w:val="24"/>
        </w:rPr>
        <w:t xml:space="preserve"> </w:t>
      </w:r>
      <w:proofErr w:type="spellStart"/>
      <w:r w:rsidRPr="00E32762">
        <w:rPr>
          <w:rFonts w:ascii="Times New Roman" w:hAnsi="Times New Roman"/>
          <w:sz w:val="24"/>
          <w:szCs w:val="24"/>
        </w:rPr>
        <w:t>i</w:t>
      </w:r>
      <w:proofErr w:type="spellEnd"/>
      <w:r w:rsidRPr="00E32762">
        <w:rPr>
          <w:rFonts w:ascii="Times New Roman" w:hAnsi="Times New Roman"/>
          <w:sz w:val="24"/>
          <w:szCs w:val="24"/>
        </w:rPr>
        <w:t xml:space="preserve"> </w:t>
      </w:r>
      <w:proofErr w:type="spellStart"/>
      <w:r w:rsidRPr="00E32762">
        <w:rPr>
          <w:rFonts w:ascii="Times New Roman" w:hAnsi="Times New Roman"/>
          <w:sz w:val="24"/>
          <w:szCs w:val="24"/>
        </w:rPr>
        <w:t>visokom</w:t>
      </w:r>
      <w:proofErr w:type="spellEnd"/>
      <w:r w:rsidRPr="00E32762">
        <w:rPr>
          <w:rFonts w:ascii="Times New Roman" w:hAnsi="Times New Roman"/>
          <w:sz w:val="24"/>
          <w:szCs w:val="24"/>
        </w:rPr>
        <w:t xml:space="preserve"> </w:t>
      </w:r>
      <w:proofErr w:type="spellStart"/>
      <w:r w:rsidRPr="00E32762">
        <w:rPr>
          <w:rFonts w:ascii="Times New Roman" w:hAnsi="Times New Roman"/>
          <w:sz w:val="24"/>
          <w:szCs w:val="24"/>
        </w:rPr>
        <w:t>obrazovanju</w:t>
      </w:r>
      <w:proofErr w:type="spellEnd"/>
      <w:r w:rsidRPr="00E32762">
        <w:rPr>
          <w:rFonts w:ascii="Times New Roman" w:hAnsi="Times New Roman"/>
          <w:sz w:val="24"/>
          <w:szCs w:val="24"/>
        </w:rPr>
        <w:t xml:space="preserve"> </w:t>
      </w:r>
    </w:p>
    <w:p w14:paraId="658A5793" w14:textId="1A951D16" w:rsidR="00C51C46" w:rsidRPr="00E32762" w:rsidRDefault="00C51C46" w:rsidP="00E32762">
      <w:pPr>
        <w:pStyle w:val="NormalWeb"/>
        <w:numPr>
          <w:ilvl w:val="0"/>
          <w:numId w:val="18"/>
        </w:numPr>
        <w:spacing w:before="0" w:beforeAutospacing="0" w:after="0" w:afterAutospacing="0" w:line="276" w:lineRule="auto"/>
        <w:jc w:val="both"/>
        <w:rPr>
          <w:rFonts w:ascii="Times New Roman" w:hAnsi="Times New Roman"/>
          <w:sz w:val="24"/>
          <w:szCs w:val="24"/>
        </w:rPr>
      </w:pPr>
      <w:proofErr w:type="spellStart"/>
      <w:r>
        <w:rPr>
          <w:rFonts w:ascii="Times New Roman" w:hAnsi="Times New Roman"/>
          <w:sz w:val="24"/>
          <w:szCs w:val="24"/>
        </w:rPr>
        <w:t>Odluka</w:t>
      </w:r>
      <w:proofErr w:type="spellEnd"/>
      <w:r>
        <w:rPr>
          <w:rFonts w:ascii="Times New Roman" w:hAnsi="Times New Roman"/>
          <w:sz w:val="24"/>
          <w:szCs w:val="24"/>
        </w:rPr>
        <w:t xml:space="preserve"> o </w:t>
      </w:r>
      <w:proofErr w:type="spellStart"/>
      <w:r>
        <w:rPr>
          <w:rFonts w:ascii="Times New Roman" w:hAnsi="Times New Roman"/>
          <w:sz w:val="24"/>
          <w:szCs w:val="24"/>
        </w:rPr>
        <w:t>programskom</w:t>
      </w:r>
      <w:proofErr w:type="spellEnd"/>
      <w:r>
        <w:rPr>
          <w:rFonts w:ascii="Times New Roman" w:hAnsi="Times New Roman"/>
          <w:sz w:val="24"/>
          <w:szCs w:val="24"/>
        </w:rPr>
        <w:t xml:space="preserve"> </w:t>
      </w:r>
      <w:proofErr w:type="spellStart"/>
      <w:r>
        <w:rPr>
          <w:rFonts w:ascii="Times New Roman" w:hAnsi="Times New Roman"/>
          <w:sz w:val="24"/>
          <w:szCs w:val="24"/>
        </w:rPr>
        <w:t>financiranju</w:t>
      </w:r>
      <w:proofErr w:type="spellEnd"/>
      <w:r>
        <w:rPr>
          <w:rFonts w:ascii="Times New Roman" w:hAnsi="Times New Roman"/>
          <w:sz w:val="24"/>
          <w:szCs w:val="24"/>
        </w:rPr>
        <w:t xml:space="preserve"> </w:t>
      </w:r>
      <w:proofErr w:type="spellStart"/>
      <w:r>
        <w:rPr>
          <w:rFonts w:ascii="Times New Roman" w:hAnsi="Times New Roman"/>
          <w:sz w:val="24"/>
          <w:szCs w:val="24"/>
        </w:rPr>
        <w:t>javnih</w:t>
      </w:r>
      <w:proofErr w:type="spellEnd"/>
      <w:r>
        <w:rPr>
          <w:rFonts w:ascii="Times New Roman" w:hAnsi="Times New Roman"/>
          <w:sz w:val="24"/>
          <w:szCs w:val="24"/>
        </w:rPr>
        <w:t xml:space="preserve"> </w:t>
      </w:r>
      <w:proofErr w:type="spellStart"/>
      <w:r>
        <w:rPr>
          <w:rFonts w:ascii="Times New Roman" w:hAnsi="Times New Roman"/>
          <w:sz w:val="24"/>
          <w:szCs w:val="24"/>
        </w:rPr>
        <w:t>visokih</w:t>
      </w:r>
      <w:proofErr w:type="spellEnd"/>
      <w:r>
        <w:rPr>
          <w:rFonts w:ascii="Times New Roman" w:hAnsi="Times New Roman"/>
          <w:sz w:val="24"/>
          <w:szCs w:val="24"/>
        </w:rPr>
        <w:t xml:space="preserve"> </w:t>
      </w:r>
      <w:proofErr w:type="spellStart"/>
      <w:r>
        <w:rPr>
          <w:rFonts w:ascii="Times New Roman" w:hAnsi="Times New Roman"/>
          <w:sz w:val="24"/>
          <w:szCs w:val="24"/>
        </w:rPr>
        <w:t>učilišta</w:t>
      </w:r>
      <w:proofErr w:type="spellEnd"/>
      <w:r>
        <w:rPr>
          <w:rFonts w:ascii="Times New Roman" w:hAnsi="Times New Roman"/>
          <w:sz w:val="24"/>
          <w:szCs w:val="24"/>
        </w:rPr>
        <w:t xml:space="preserve"> u </w:t>
      </w:r>
      <w:proofErr w:type="spellStart"/>
      <w:r>
        <w:rPr>
          <w:rFonts w:ascii="Times New Roman" w:hAnsi="Times New Roman"/>
          <w:sz w:val="24"/>
          <w:szCs w:val="24"/>
        </w:rPr>
        <w:t>Republici</w:t>
      </w:r>
      <w:proofErr w:type="spellEnd"/>
      <w:r>
        <w:rPr>
          <w:rFonts w:ascii="Times New Roman" w:hAnsi="Times New Roman"/>
          <w:sz w:val="24"/>
          <w:szCs w:val="24"/>
        </w:rPr>
        <w:t xml:space="preserve"> </w:t>
      </w:r>
      <w:proofErr w:type="spellStart"/>
      <w:r>
        <w:rPr>
          <w:rFonts w:ascii="Times New Roman" w:hAnsi="Times New Roman"/>
          <w:sz w:val="24"/>
          <w:szCs w:val="24"/>
        </w:rPr>
        <w:t>Hrvatskoj</w:t>
      </w:r>
      <w:proofErr w:type="spellEnd"/>
      <w:r>
        <w:rPr>
          <w:rFonts w:ascii="Times New Roman" w:hAnsi="Times New Roman"/>
          <w:sz w:val="24"/>
          <w:szCs w:val="24"/>
        </w:rPr>
        <w:t xml:space="preserve"> u </w:t>
      </w:r>
      <w:proofErr w:type="spellStart"/>
      <w:r>
        <w:rPr>
          <w:rFonts w:ascii="Times New Roman" w:hAnsi="Times New Roman"/>
          <w:sz w:val="24"/>
          <w:szCs w:val="24"/>
        </w:rPr>
        <w:t>akademskim</w:t>
      </w:r>
      <w:proofErr w:type="spellEnd"/>
      <w:r>
        <w:rPr>
          <w:rFonts w:ascii="Times New Roman" w:hAnsi="Times New Roman"/>
          <w:sz w:val="24"/>
          <w:szCs w:val="24"/>
        </w:rPr>
        <w:t xml:space="preserve"> </w:t>
      </w:r>
      <w:proofErr w:type="spellStart"/>
      <w:r>
        <w:rPr>
          <w:rFonts w:ascii="Times New Roman" w:hAnsi="Times New Roman"/>
          <w:sz w:val="24"/>
          <w:szCs w:val="24"/>
        </w:rPr>
        <w:t>godinama</w:t>
      </w:r>
      <w:proofErr w:type="spellEnd"/>
      <w:r>
        <w:rPr>
          <w:rFonts w:ascii="Times New Roman" w:hAnsi="Times New Roman"/>
          <w:sz w:val="24"/>
          <w:szCs w:val="24"/>
        </w:rPr>
        <w:t xml:space="preserve"> 2018</w:t>
      </w:r>
      <w:proofErr w:type="gramStart"/>
      <w:r>
        <w:rPr>
          <w:rFonts w:ascii="Times New Roman" w:hAnsi="Times New Roman"/>
          <w:sz w:val="24"/>
          <w:szCs w:val="24"/>
        </w:rPr>
        <w:t>./</w:t>
      </w:r>
      <w:proofErr w:type="gramEnd"/>
      <w:r>
        <w:rPr>
          <w:rFonts w:ascii="Times New Roman" w:hAnsi="Times New Roman"/>
          <w:sz w:val="24"/>
          <w:szCs w:val="24"/>
        </w:rPr>
        <w:t xml:space="preserve">19., 2019./2020., 2020./2021. </w:t>
      </w:r>
      <w:proofErr w:type="spellStart"/>
      <w:proofErr w:type="gramStart"/>
      <w:r>
        <w:rPr>
          <w:rFonts w:ascii="Times New Roman" w:hAnsi="Times New Roman"/>
          <w:sz w:val="24"/>
          <w:szCs w:val="24"/>
        </w:rPr>
        <w:t>i</w:t>
      </w:r>
      <w:proofErr w:type="spellEnd"/>
      <w:proofErr w:type="gramEnd"/>
      <w:r>
        <w:rPr>
          <w:rFonts w:ascii="Times New Roman" w:hAnsi="Times New Roman"/>
          <w:sz w:val="24"/>
          <w:szCs w:val="24"/>
        </w:rPr>
        <w:t xml:space="preserve"> 2021./2022. </w:t>
      </w:r>
    </w:p>
    <w:p w14:paraId="074E7CB2" w14:textId="106A3FA5" w:rsidR="00C51C46" w:rsidRPr="00F57954" w:rsidRDefault="00C51C46" w:rsidP="00E32762">
      <w:pPr>
        <w:pStyle w:val="NormalWeb"/>
        <w:numPr>
          <w:ilvl w:val="0"/>
          <w:numId w:val="18"/>
        </w:numPr>
        <w:spacing w:before="0" w:beforeAutospacing="0" w:after="0" w:afterAutospacing="0" w:line="276" w:lineRule="auto"/>
        <w:jc w:val="both"/>
        <w:rPr>
          <w:rFonts w:ascii="Times New Roman" w:hAnsi="Times New Roman"/>
          <w:sz w:val="24"/>
          <w:szCs w:val="24"/>
        </w:rPr>
      </w:pPr>
      <w:proofErr w:type="spellStart"/>
      <w:r>
        <w:rPr>
          <w:rFonts w:ascii="Times New Roman" w:hAnsi="Times New Roman"/>
          <w:sz w:val="24"/>
          <w:szCs w:val="24"/>
        </w:rPr>
        <w:t>Ugovor</w:t>
      </w:r>
      <w:proofErr w:type="spellEnd"/>
      <w:r>
        <w:rPr>
          <w:rFonts w:ascii="Times New Roman" w:hAnsi="Times New Roman"/>
          <w:sz w:val="24"/>
          <w:szCs w:val="24"/>
        </w:rPr>
        <w:t xml:space="preserve"> o </w:t>
      </w:r>
      <w:proofErr w:type="spellStart"/>
      <w:r>
        <w:rPr>
          <w:rFonts w:ascii="Times New Roman" w:hAnsi="Times New Roman"/>
          <w:sz w:val="24"/>
          <w:szCs w:val="24"/>
        </w:rPr>
        <w:t>programskom</w:t>
      </w:r>
      <w:proofErr w:type="spellEnd"/>
      <w:r>
        <w:rPr>
          <w:rFonts w:ascii="Times New Roman" w:hAnsi="Times New Roman"/>
          <w:sz w:val="24"/>
          <w:szCs w:val="24"/>
        </w:rPr>
        <w:t xml:space="preserve"> </w:t>
      </w:r>
      <w:proofErr w:type="spellStart"/>
      <w:r>
        <w:rPr>
          <w:rFonts w:ascii="Times New Roman" w:hAnsi="Times New Roman"/>
          <w:sz w:val="24"/>
          <w:szCs w:val="24"/>
        </w:rPr>
        <w:t>financiranju</w:t>
      </w:r>
      <w:proofErr w:type="spellEnd"/>
      <w:r>
        <w:rPr>
          <w:rFonts w:ascii="Times New Roman" w:hAnsi="Times New Roman"/>
          <w:sz w:val="24"/>
          <w:szCs w:val="24"/>
        </w:rPr>
        <w:t xml:space="preserve"> </w:t>
      </w:r>
      <w:proofErr w:type="spellStart"/>
      <w:r>
        <w:rPr>
          <w:rFonts w:ascii="Times New Roman" w:hAnsi="Times New Roman"/>
          <w:sz w:val="24"/>
          <w:szCs w:val="24"/>
        </w:rPr>
        <w:t>Sveučilišta</w:t>
      </w:r>
      <w:proofErr w:type="spellEnd"/>
      <w:r>
        <w:rPr>
          <w:rFonts w:ascii="Times New Roman" w:hAnsi="Times New Roman"/>
          <w:sz w:val="24"/>
          <w:szCs w:val="24"/>
        </w:rPr>
        <w:t xml:space="preserve"> </w:t>
      </w:r>
      <w:r w:rsidR="00241B6A">
        <w:rPr>
          <w:rFonts w:ascii="Times New Roman" w:hAnsi="Times New Roman"/>
          <w:sz w:val="24"/>
          <w:szCs w:val="24"/>
        </w:rPr>
        <w:t xml:space="preserve">u </w:t>
      </w:r>
      <w:proofErr w:type="spellStart"/>
      <w:r w:rsidR="00241B6A">
        <w:rPr>
          <w:rFonts w:ascii="Times New Roman" w:hAnsi="Times New Roman"/>
          <w:sz w:val="24"/>
          <w:szCs w:val="24"/>
        </w:rPr>
        <w:t>Dubrovniku</w:t>
      </w:r>
      <w:proofErr w:type="spellEnd"/>
      <w:r>
        <w:rPr>
          <w:rFonts w:ascii="Times New Roman" w:hAnsi="Times New Roman"/>
          <w:sz w:val="24"/>
          <w:szCs w:val="24"/>
        </w:rPr>
        <w:t xml:space="preserve"> u </w:t>
      </w:r>
      <w:proofErr w:type="spellStart"/>
      <w:r>
        <w:rPr>
          <w:rFonts w:ascii="Times New Roman" w:hAnsi="Times New Roman"/>
          <w:sz w:val="24"/>
          <w:szCs w:val="24"/>
        </w:rPr>
        <w:t>akademskim</w:t>
      </w:r>
      <w:proofErr w:type="spellEnd"/>
      <w:r>
        <w:rPr>
          <w:rFonts w:ascii="Times New Roman" w:hAnsi="Times New Roman"/>
          <w:sz w:val="24"/>
          <w:szCs w:val="24"/>
        </w:rPr>
        <w:t xml:space="preserve"> </w:t>
      </w:r>
      <w:proofErr w:type="spellStart"/>
      <w:r>
        <w:rPr>
          <w:rFonts w:ascii="Times New Roman" w:hAnsi="Times New Roman"/>
          <w:sz w:val="24"/>
          <w:szCs w:val="24"/>
        </w:rPr>
        <w:t>godinama</w:t>
      </w:r>
      <w:proofErr w:type="spellEnd"/>
      <w:r>
        <w:rPr>
          <w:rFonts w:ascii="Times New Roman" w:hAnsi="Times New Roman"/>
          <w:sz w:val="24"/>
          <w:szCs w:val="24"/>
        </w:rPr>
        <w:t xml:space="preserve"> 2018</w:t>
      </w:r>
      <w:proofErr w:type="gramStart"/>
      <w:r>
        <w:rPr>
          <w:rFonts w:ascii="Times New Roman" w:hAnsi="Times New Roman"/>
          <w:sz w:val="24"/>
          <w:szCs w:val="24"/>
        </w:rPr>
        <w:t>./</w:t>
      </w:r>
      <w:proofErr w:type="gramEnd"/>
      <w:r>
        <w:rPr>
          <w:rFonts w:ascii="Times New Roman" w:hAnsi="Times New Roman"/>
          <w:sz w:val="24"/>
          <w:szCs w:val="24"/>
        </w:rPr>
        <w:t xml:space="preserve">19., 2019./2020., 2020./2021. </w:t>
      </w:r>
      <w:proofErr w:type="spellStart"/>
      <w:proofErr w:type="gramStart"/>
      <w:r>
        <w:rPr>
          <w:rFonts w:ascii="Times New Roman" w:hAnsi="Times New Roman"/>
          <w:sz w:val="24"/>
          <w:szCs w:val="24"/>
        </w:rPr>
        <w:t>i</w:t>
      </w:r>
      <w:proofErr w:type="spellEnd"/>
      <w:proofErr w:type="gramEnd"/>
      <w:r>
        <w:rPr>
          <w:rFonts w:ascii="Times New Roman" w:hAnsi="Times New Roman"/>
          <w:sz w:val="24"/>
          <w:szCs w:val="24"/>
        </w:rPr>
        <w:t xml:space="preserve"> 2021./2022.</w:t>
      </w:r>
    </w:p>
    <w:p w14:paraId="6912676B" w14:textId="18E2112B" w:rsidR="00C51C46" w:rsidRDefault="00C51C46" w:rsidP="00E32762">
      <w:pPr>
        <w:pStyle w:val="NormalWeb"/>
        <w:numPr>
          <w:ilvl w:val="0"/>
          <w:numId w:val="18"/>
        </w:numPr>
        <w:spacing w:before="0" w:beforeAutospacing="0" w:after="0" w:afterAutospacing="0" w:line="276" w:lineRule="auto"/>
        <w:jc w:val="both"/>
        <w:rPr>
          <w:rFonts w:ascii="Times New Roman" w:hAnsi="Times New Roman"/>
          <w:sz w:val="24"/>
          <w:szCs w:val="24"/>
        </w:rPr>
      </w:pPr>
      <w:proofErr w:type="spellStart"/>
      <w:r>
        <w:rPr>
          <w:rFonts w:ascii="Times New Roman" w:hAnsi="Times New Roman"/>
          <w:sz w:val="24"/>
          <w:szCs w:val="24"/>
        </w:rPr>
        <w:t>Zakon</w:t>
      </w:r>
      <w:proofErr w:type="spellEnd"/>
      <w:r>
        <w:rPr>
          <w:rFonts w:ascii="Times New Roman" w:hAnsi="Times New Roman"/>
          <w:sz w:val="24"/>
          <w:szCs w:val="24"/>
        </w:rPr>
        <w:t xml:space="preserve"> o </w:t>
      </w:r>
      <w:proofErr w:type="spellStart"/>
      <w:r>
        <w:rPr>
          <w:rFonts w:ascii="Times New Roman" w:hAnsi="Times New Roman"/>
          <w:sz w:val="24"/>
          <w:szCs w:val="24"/>
        </w:rPr>
        <w:t>osiguravanju</w:t>
      </w:r>
      <w:proofErr w:type="spellEnd"/>
      <w:r>
        <w:rPr>
          <w:rFonts w:ascii="Times New Roman" w:hAnsi="Times New Roman"/>
          <w:sz w:val="24"/>
          <w:szCs w:val="24"/>
        </w:rPr>
        <w:t xml:space="preserve"> </w:t>
      </w:r>
      <w:proofErr w:type="spellStart"/>
      <w:r>
        <w:rPr>
          <w:rFonts w:ascii="Times New Roman" w:hAnsi="Times New Roman"/>
          <w:sz w:val="24"/>
          <w:szCs w:val="24"/>
        </w:rPr>
        <w:t>kvalitete</w:t>
      </w:r>
      <w:proofErr w:type="spellEnd"/>
      <w:r>
        <w:rPr>
          <w:rFonts w:ascii="Times New Roman" w:hAnsi="Times New Roman"/>
          <w:sz w:val="24"/>
          <w:szCs w:val="24"/>
        </w:rPr>
        <w:t xml:space="preserve"> u </w:t>
      </w:r>
      <w:proofErr w:type="spellStart"/>
      <w:r w:rsidR="00E32762">
        <w:rPr>
          <w:rFonts w:ascii="Times New Roman" w:hAnsi="Times New Roman"/>
          <w:sz w:val="24"/>
          <w:szCs w:val="24"/>
        </w:rPr>
        <w:t>znanosti</w:t>
      </w:r>
      <w:proofErr w:type="spellEnd"/>
      <w:r w:rsidR="00E32762">
        <w:rPr>
          <w:rFonts w:ascii="Times New Roman" w:hAnsi="Times New Roman"/>
          <w:sz w:val="24"/>
          <w:szCs w:val="24"/>
        </w:rPr>
        <w:t xml:space="preserve"> </w:t>
      </w:r>
      <w:proofErr w:type="spellStart"/>
      <w:r w:rsidR="00E32762">
        <w:rPr>
          <w:rFonts w:ascii="Times New Roman" w:hAnsi="Times New Roman"/>
          <w:sz w:val="24"/>
          <w:szCs w:val="24"/>
        </w:rPr>
        <w:t>i</w:t>
      </w:r>
      <w:proofErr w:type="spellEnd"/>
      <w:r w:rsidR="00E32762">
        <w:rPr>
          <w:rFonts w:ascii="Times New Roman" w:hAnsi="Times New Roman"/>
          <w:sz w:val="24"/>
          <w:szCs w:val="24"/>
        </w:rPr>
        <w:t xml:space="preserve"> </w:t>
      </w:r>
      <w:proofErr w:type="spellStart"/>
      <w:r w:rsidR="00E32762">
        <w:rPr>
          <w:rFonts w:ascii="Times New Roman" w:hAnsi="Times New Roman"/>
          <w:sz w:val="24"/>
          <w:szCs w:val="24"/>
        </w:rPr>
        <w:t>visokom</w:t>
      </w:r>
      <w:proofErr w:type="spellEnd"/>
      <w:r w:rsidR="00E32762">
        <w:rPr>
          <w:rFonts w:ascii="Times New Roman" w:hAnsi="Times New Roman"/>
          <w:sz w:val="24"/>
          <w:szCs w:val="24"/>
        </w:rPr>
        <w:t xml:space="preserve"> </w:t>
      </w:r>
      <w:proofErr w:type="spellStart"/>
      <w:r w:rsidR="00E32762">
        <w:rPr>
          <w:rFonts w:ascii="Times New Roman" w:hAnsi="Times New Roman"/>
          <w:sz w:val="24"/>
          <w:szCs w:val="24"/>
        </w:rPr>
        <w:t>obrazovanju</w:t>
      </w:r>
      <w:proofErr w:type="spellEnd"/>
      <w:r w:rsidR="00E32762">
        <w:rPr>
          <w:rFonts w:ascii="Times New Roman" w:hAnsi="Times New Roman"/>
          <w:sz w:val="24"/>
          <w:szCs w:val="24"/>
        </w:rPr>
        <w:t xml:space="preserve"> </w:t>
      </w:r>
    </w:p>
    <w:p w14:paraId="02165AE7" w14:textId="008AA418" w:rsidR="00C51C46" w:rsidRPr="00E32762" w:rsidRDefault="00C51C46" w:rsidP="00E32762">
      <w:pPr>
        <w:pStyle w:val="NormalWeb"/>
        <w:numPr>
          <w:ilvl w:val="0"/>
          <w:numId w:val="18"/>
        </w:numPr>
        <w:spacing w:before="0" w:beforeAutospacing="0" w:after="0" w:afterAutospacing="0" w:line="276" w:lineRule="auto"/>
        <w:jc w:val="both"/>
        <w:rPr>
          <w:rFonts w:ascii="Times New Roman" w:hAnsi="Times New Roman"/>
          <w:sz w:val="24"/>
          <w:szCs w:val="24"/>
        </w:rPr>
      </w:pPr>
      <w:proofErr w:type="spellStart"/>
      <w:r>
        <w:rPr>
          <w:rFonts w:ascii="Times New Roman" w:hAnsi="Times New Roman"/>
          <w:sz w:val="24"/>
          <w:szCs w:val="24"/>
        </w:rPr>
        <w:lastRenderedPageBreak/>
        <w:t>Pravilnik</w:t>
      </w:r>
      <w:proofErr w:type="spellEnd"/>
      <w:r>
        <w:rPr>
          <w:rFonts w:ascii="Times New Roman" w:hAnsi="Times New Roman"/>
          <w:sz w:val="24"/>
          <w:szCs w:val="24"/>
        </w:rPr>
        <w:t xml:space="preserve"> o </w:t>
      </w:r>
      <w:proofErr w:type="spellStart"/>
      <w:r>
        <w:rPr>
          <w:rFonts w:ascii="Times New Roman" w:hAnsi="Times New Roman"/>
          <w:sz w:val="24"/>
          <w:szCs w:val="24"/>
        </w:rPr>
        <w:t>sadržaju</w:t>
      </w:r>
      <w:proofErr w:type="spellEnd"/>
      <w:r>
        <w:rPr>
          <w:rFonts w:ascii="Times New Roman" w:hAnsi="Times New Roman"/>
          <w:sz w:val="24"/>
          <w:szCs w:val="24"/>
        </w:rPr>
        <w:t xml:space="preserve"> </w:t>
      </w:r>
      <w:proofErr w:type="spellStart"/>
      <w:r>
        <w:rPr>
          <w:rFonts w:ascii="Times New Roman" w:hAnsi="Times New Roman"/>
          <w:sz w:val="24"/>
          <w:szCs w:val="24"/>
        </w:rPr>
        <w:t>dopusnice</w:t>
      </w:r>
      <w:proofErr w:type="spellEnd"/>
      <w:r>
        <w:rPr>
          <w:rFonts w:ascii="Times New Roman" w:hAnsi="Times New Roman"/>
          <w:sz w:val="24"/>
          <w:szCs w:val="24"/>
        </w:rPr>
        <w:t xml:space="preserve"> </w:t>
      </w:r>
      <w:proofErr w:type="spellStart"/>
      <w:r>
        <w:rPr>
          <w:rFonts w:ascii="Times New Roman" w:hAnsi="Times New Roman"/>
          <w:sz w:val="24"/>
          <w:szCs w:val="24"/>
        </w:rPr>
        <w:t>te</w:t>
      </w:r>
      <w:proofErr w:type="spellEnd"/>
      <w:r>
        <w:rPr>
          <w:rFonts w:ascii="Times New Roman" w:hAnsi="Times New Roman"/>
          <w:sz w:val="24"/>
          <w:szCs w:val="24"/>
        </w:rPr>
        <w:t xml:space="preserve"> </w:t>
      </w:r>
      <w:proofErr w:type="spellStart"/>
      <w:r>
        <w:rPr>
          <w:rFonts w:ascii="Times New Roman" w:hAnsi="Times New Roman"/>
          <w:sz w:val="24"/>
          <w:szCs w:val="24"/>
        </w:rPr>
        <w:t>uvjetima</w:t>
      </w:r>
      <w:proofErr w:type="spellEnd"/>
      <w:r>
        <w:rPr>
          <w:rFonts w:ascii="Times New Roman" w:hAnsi="Times New Roman"/>
          <w:sz w:val="24"/>
          <w:szCs w:val="24"/>
        </w:rPr>
        <w:t xml:space="preserve"> </w:t>
      </w:r>
      <w:proofErr w:type="spellStart"/>
      <w:r>
        <w:rPr>
          <w:rFonts w:ascii="Times New Roman" w:hAnsi="Times New Roman"/>
          <w:sz w:val="24"/>
          <w:szCs w:val="24"/>
        </w:rPr>
        <w:t>za</w:t>
      </w:r>
      <w:proofErr w:type="spellEnd"/>
      <w:r>
        <w:rPr>
          <w:rFonts w:ascii="Times New Roman" w:hAnsi="Times New Roman"/>
          <w:sz w:val="24"/>
          <w:szCs w:val="24"/>
        </w:rPr>
        <w:t xml:space="preserve"> </w:t>
      </w:r>
      <w:proofErr w:type="spellStart"/>
      <w:r>
        <w:rPr>
          <w:rFonts w:ascii="Times New Roman" w:hAnsi="Times New Roman"/>
          <w:sz w:val="24"/>
          <w:szCs w:val="24"/>
        </w:rPr>
        <w:t>izdavanje</w:t>
      </w:r>
      <w:proofErr w:type="spellEnd"/>
      <w:r>
        <w:rPr>
          <w:rFonts w:ascii="Times New Roman" w:hAnsi="Times New Roman"/>
          <w:sz w:val="24"/>
          <w:szCs w:val="24"/>
        </w:rPr>
        <w:t xml:space="preserve"> </w:t>
      </w:r>
      <w:proofErr w:type="spellStart"/>
      <w:r>
        <w:rPr>
          <w:rFonts w:ascii="Times New Roman" w:hAnsi="Times New Roman"/>
          <w:sz w:val="24"/>
          <w:szCs w:val="24"/>
        </w:rPr>
        <w:t>dopusnice</w:t>
      </w:r>
      <w:proofErr w:type="spellEnd"/>
      <w:r>
        <w:rPr>
          <w:rFonts w:ascii="Times New Roman" w:hAnsi="Times New Roman"/>
          <w:sz w:val="24"/>
          <w:szCs w:val="24"/>
        </w:rPr>
        <w:t xml:space="preserve"> </w:t>
      </w:r>
      <w:proofErr w:type="spellStart"/>
      <w:r>
        <w:rPr>
          <w:rFonts w:ascii="Times New Roman" w:hAnsi="Times New Roman"/>
          <w:sz w:val="24"/>
          <w:szCs w:val="24"/>
        </w:rPr>
        <w:t>za</w:t>
      </w:r>
      <w:proofErr w:type="spellEnd"/>
      <w:r>
        <w:rPr>
          <w:rFonts w:ascii="Times New Roman" w:hAnsi="Times New Roman"/>
          <w:sz w:val="24"/>
          <w:szCs w:val="24"/>
        </w:rPr>
        <w:t xml:space="preserve"> </w:t>
      </w:r>
      <w:proofErr w:type="spellStart"/>
      <w:r>
        <w:rPr>
          <w:rFonts w:ascii="Times New Roman" w:hAnsi="Times New Roman"/>
          <w:sz w:val="24"/>
          <w:szCs w:val="24"/>
        </w:rPr>
        <w:t>obavljanje</w:t>
      </w:r>
      <w:proofErr w:type="spellEnd"/>
      <w:r>
        <w:rPr>
          <w:rFonts w:ascii="Times New Roman" w:hAnsi="Times New Roman"/>
          <w:sz w:val="24"/>
          <w:szCs w:val="24"/>
        </w:rPr>
        <w:t xml:space="preserve"> </w:t>
      </w:r>
      <w:proofErr w:type="spellStart"/>
      <w:r>
        <w:rPr>
          <w:rFonts w:ascii="Times New Roman" w:hAnsi="Times New Roman"/>
          <w:sz w:val="24"/>
          <w:szCs w:val="24"/>
        </w:rPr>
        <w:t>djelatnosti</w:t>
      </w:r>
      <w:proofErr w:type="spellEnd"/>
      <w:r>
        <w:rPr>
          <w:rFonts w:ascii="Times New Roman" w:hAnsi="Times New Roman"/>
          <w:sz w:val="24"/>
          <w:szCs w:val="24"/>
        </w:rPr>
        <w:t xml:space="preserve"> </w:t>
      </w:r>
      <w:proofErr w:type="spellStart"/>
      <w:r>
        <w:rPr>
          <w:rFonts w:ascii="Times New Roman" w:hAnsi="Times New Roman"/>
          <w:sz w:val="24"/>
          <w:szCs w:val="24"/>
        </w:rPr>
        <w:t>visokog</w:t>
      </w:r>
      <w:proofErr w:type="spellEnd"/>
      <w:r>
        <w:rPr>
          <w:rFonts w:ascii="Times New Roman" w:hAnsi="Times New Roman"/>
          <w:sz w:val="24"/>
          <w:szCs w:val="24"/>
        </w:rPr>
        <w:t xml:space="preserve"> </w:t>
      </w:r>
      <w:proofErr w:type="spellStart"/>
      <w:r>
        <w:rPr>
          <w:rFonts w:ascii="Times New Roman" w:hAnsi="Times New Roman"/>
          <w:sz w:val="24"/>
          <w:szCs w:val="24"/>
        </w:rPr>
        <w:t>obrazovanja</w:t>
      </w:r>
      <w:proofErr w:type="spellEnd"/>
      <w:r>
        <w:rPr>
          <w:rFonts w:ascii="Times New Roman" w:hAnsi="Times New Roman"/>
          <w:sz w:val="24"/>
          <w:szCs w:val="24"/>
        </w:rPr>
        <w:t xml:space="preserve">, </w:t>
      </w:r>
      <w:proofErr w:type="spellStart"/>
      <w:r>
        <w:rPr>
          <w:rFonts w:ascii="Times New Roman" w:hAnsi="Times New Roman"/>
          <w:sz w:val="24"/>
          <w:szCs w:val="24"/>
        </w:rPr>
        <w:t>izvođenje</w:t>
      </w:r>
      <w:proofErr w:type="spellEnd"/>
      <w:r>
        <w:rPr>
          <w:rFonts w:ascii="Times New Roman" w:hAnsi="Times New Roman"/>
          <w:sz w:val="24"/>
          <w:szCs w:val="24"/>
        </w:rPr>
        <w:t xml:space="preserve"> </w:t>
      </w:r>
      <w:proofErr w:type="spellStart"/>
      <w:r>
        <w:rPr>
          <w:rFonts w:ascii="Times New Roman" w:hAnsi="Times New Roman"/>
          <w:sz w:val="24"/>
          <w:szCs w:val="24"/>
        </w:rPr>
        <w:t>studijskog</w:t>
      </w:r>
      <w:proofErr w:type="spellEnd"/>
      <w:r>
        <w:rPr>
          <w:rFonts w:ascii="Times New Roman" w:hAnsi="Times New Roman"/>
          <w:sz w:val="24"/>
          <w:szCs w:val="24"/>
        </w:rPr>
        <w:t xml:space="preserve"> </w:t>
      </w:r>
      <w:proofErr w:type="spellStart"/>
      <w:r>
        <w:rPr>
          <w:rFonts w:ascii="Times New Roman" w:hAnsi="Times New Roman"/>
          <w:sz w:val="24"/>
          <w:szCs w:val="24"/>
        </w:rPr>
        <w:t>programa</w:t>
      </w:r>
      <w:proofErr w:type="spellEnd"/>
      <w:r>
        <w:rPr>
          <w:rFonts w:ascii="Times New Roman" w:hAnsi="Times New Roman"/>
          <w:sz w:val="24"/>
          <w:szCs w:val="24"/>
        </w:rPr>
        <w:t xml:space="preserve"> </w:t>
      </w:r>
      <w:proofErr w:type="spellStart"/>
      <w:r>
        <w:rPr>
          <w:rFonts w:ascii="Times New Roman" w:hAnsi="Times New Roman"/>
          <w:sz w:val="24"/>
          <w:szCs w:val="24"/>
        </w:rPr>
        <w:t>i</w:t>
      </w:r>
      <w:proofErr w:type="spellEnd"/>
      <w:r>
        <w:rPr>
          <w:rFonts w:ascii="Times New Roman" w:hAnsi="Times New Roman"/>
          <w:sz w:val="24"/>
          <w:szCs w:val="24"/>
        </w:rPr>
        <w:t xml:space="preserve"> </w:t>
      </w:r>
      <w:proofErr w:type="spellStart"/>
      <w:r>
        <w:rPr>
          <w:rFonts w:ascii="Times New Roman" w:hAnsi="Times New Roman"/>
          <w:sz w:val="24"/>
          <w:szCs w:val="24"/>
        </w:rPr>
        <w:t>reakreditacije</w:t>
      </w:r>
      <w:proofErr w:type="spellEnd"/>
      <w:r>
        <w:rPr>
          <w:rFonts w:ascii="Times New Roman" w:hAnsi="Times New Roman"/>
          <w:sz w:val="24"/>
          <w:szCs w:val="24"/>
        </w:rPr>
        <w:t xml:space="preserve"> </w:t>
      </w:r>
      <w:proofErr w:type="spellStart"/>
      <w:r>
        <w:rPr>
          <w:rFonts w:ascii="Times New Roman" w:hAnsi="Times New Roman"/>
          <w:sz w:val="24"/>
          <w:szCs w:val="24"/>
        </w:rPr>
        <w:t>visokih</w:t>
      </w:r>
      <w:proofErr w:type="spellEnd"/>
      <w:r>
        <w:rPr>
          <w:rFonts w:ascii="Times New Roman" w:hAnsi="Times New Roman"/>
          <w:sz w:val="24"/>
          <w:szCs w:val="24"/>
        </w:rPr>
        <w:t xml:space="preserve"> </w:t>
      </w:r>
      <w:proofErr w:type="spellStart"/>
      <w:r>
        <w:rPr>
          <w:rFonts w:ascii="Times New Roman" w:hAnsi="Times New Roman"/>
          <w:sz w:val="24"/>
          <w:szCs w:val="24"/>
        </w:rPr>
        <w:t>učilišta</w:t>
      </w:r>
      <w:proofErr w:type="spellEnd"/>
      <w:r>
        <w:rPr>
          <w:rFonts w:ascii="Times New Roman" w:hAnsi="Times New Roman"/>
          <w:sz w:val="24"/>
          <w:szCs w:val="24"/>
        </w:rPr>
        <w:t xml:space="preserve"> </w:t>
      </w:r>
    </w:p>
    <w:p w14:paraId="2EA9FA07" w14:textId="3D575D05" w:rsidR="00C51C46" w:rsidRPr="00E32762" w:rsidRDefault="00C51C46" w:rsidP="00E32762">
      <w:pPr>
        <w:pStyle w:val="NormalWeb"/>
        <w:numPr>
          <w:ilvl w:val="0"/>
          <w:numId w:val="18"/>
        </w:numPr>
        <w:spacing w:before="0" w:beforeAutospacing="0" w:after="0" w:afterAutospacing="0" w:line="276" w:lineRule="auto"/>
        <w:jc w:val="both"/>
        <w:rPr>
          <w:rFonts w:ascii="Times New Roman" w:hAnsi="Times New Roman"/>
          <w:sz w:val="24"/>
          <w:szCs w:val="24"/>
        </w:rPr>
      </w:pPr>
      <w:proofErr w:type="spellStart"/>
      <w:r w:rsidRPr="00BF483D">
        <w:rPr>
          <w:rFonts w:ascii="Times New Roman" w:hAnsi="Times New Roman"/>
          <w:sz w:val="24"/>
          <w:szCs w:val="24"/>
        </w:rPr>
        <w:t>Strategija</w:t>
      </w:r>
      <w:proofErr w:type="spellEnd"/>
      <w:r w:rsidRPr="00BF483D">
        <w:rPr>
          <w:rFonts w:ascii="Times New Roman" w:hAnsi="Times New Roman"/>
          <w:sz w:val="24"/>
          <w:szCs w:val="24"/>
        </w:rPr>
        <w:t xml:space="preserve"> </w:t>
      </w:r>
      <w:proofErr w:type="spellStart"/>
      <w:r w:rsidRPr="00BF483D">
        <w:rPr>
          <w:rFonts w:ascii="Times New Roman" w:hAnsi="Times New Roman"/>
          <w:sz w:val="24"/>
          <w:szCs w:val="24"/>
        </w:rPr>
        <w:t>razvoja</w:t>
      </w:r>
      <w:proofErr w:type="spellEnd"/>
      <w:r w:rsidRPr="00BF483D">
        <w:rPr>
          <w:rFonts w:ascii="Times New Roman" w:hAnsi="Times New Roman"/>
          <w:sz w:val="24"/>
          <w:szCs w:val="24"/>
        </w:rPr>
        <w:t xml:space="preserve"> </w:t>
      </w:r>
      <w:proofErr w:type="spellStart"/>
      <w:r w:rsidRPr="00BF483D">
        <w:rPr>
          <w:rFonts w:ascii="Times New Roman" w:hAnsi="Times New Roman"/>
          <w:sz w:val="24"/>
          <w:szCs w:val="24"/>
        </w:rPr>
        <w:t>Sveučilišta</w:t>
      </w:r>
      <w:proofErr w:type="spellEnd"/>
      <w:r w:rsidRPr="00BF483D">
        <w:rPr>
          <w:rFonts w:ascii="Times New Roman" w:hAnsi="Times New Roman"/>
          <w:sz w:val="24"/>
          <w:szCs w:val="24"/>
        </w:rPr>
        <w:t xml:space="preserve"> </w:t>
      </w:r>
      <w:r w:rsidR="00241B6A">
        <w:rPr>
          <w:rFonts w:ascii="Times New Roman" w:hAnsi="Times New Roman"/>
          <w:sz w:val="24"/>
          <w:szCs w:val="24"/>
        </w:rPr>
        <w:t xml:space="preserve">u </w:t>
      </w:r>
      <w:proofErr w:type="spellStart"/>
      <w:r w:rsidR="00241B6A">
        <w:rPr>
          <w:rFonts w:ascii="Times New Roman" w:hAnsi="Times New Roman"/>
          <w:sz w:val="24"/>
          <w:szCs w:val="24"/>
        </w:rPr>
        <w:t>Dubrovniku</w:t>
      </w:r>
      <w:proofErr w:type="spellEnd"/>
      <w:r w:rsidRPr="00BF483D">
        <w:rPr>
          <w:rFonts w:ascii="Times New Roman" w:hAnsi="Times New Roman"/>
          <w:sz w:val="24"/>
          <w:szCs w:val="24"/>
        </w:rPr>
        <w:t xml:space="preserve"> 2016.-2020., </w:t>
      </w:r>
    </w:p>
    <w:p w14:paraId="49E9BB88" w14:textId="0DE148C6" w:rsidR="00C51C46" w:rsidRPr="00BF483D" w:rsidRDefault="00C51C46" w:rsidP="00E32762">
      <w:pPr>
        <w:pStyle w:val="NormalWeb"/>
        <w:numPr>
          <w:ilvl w:val="0"/>
          <w:numId w:val="18"/>
        </w:numPr>
        <w:spacing w:before="0" w:beforeAutospacing="0" w:after="0" w:afterAutospacing="0" w:line="276" w:lineRule="auto"/>
        <w:jc w:val="both"/>
        <w:rPr>
          <w:rFonts w:ascii="Times New Roman" w:hAnsi="Times New Roman"/>
          <w:sz w:val="24"/>
          <w:szCs w:val="24"/>
        </w:rPr>
      </w:pPr>
      <w:proofErr w:type="spellStart"/>
      <w:r w:rsidRPr="00E32762">
        <w:rPr>
          <w:rFonts w:ascii="Times New Roman" w:hAnsi="Times New Roman"/>
          <w:sz w:val="24"/>
          <w:szCs w:val="24"/>
        </w:rPr>
        <w:t>Istraživačka</w:t>
      </w:r>
      <w:proofErr w:type="spellEnd"/>
      <w:r w:rsidRPr="00E32762">
        <w:rPr>
          <w:rFonts w:ascii="Times New Roman" w:hAnsi="Times New Roman"/>
          <w:sz w:val="24"/>
          <w:szCs w:val="24"/>
        </w:rPr>
        <w:t xml:space="preserve"> </w:t>
      </w:r>
      <w:proofErr w:type="spellStart"/>
      <w:r w:rsidRPr="00E32762">
        <w:rPr>
          <w:rFonts w:ascii="Times New Roman" w:hAnsi="Times New Roman"/>
          <w:sz w:val="24"/>
          <w:szCs w:val="24"/>
        </w:rPr>
        <w:t>strategija</w:t>
      </w:r>
      <w:proofErr w:type="spellEnd"/>
      <w:r w:rsidRPr="00E32762">
        <w:rPr>
          <w:rFonts w:ascii="Times New Roman" w:hAnsi="Times New Roman"/>
          <w:sz w:val="24"/>
          <w:szCs w:val="24"/>
        </w:rPr>
        <w:t xml:space="preserve"> </w:t>
      </w:r>
      <w:proofErr w:type="spellStart"/>
      <w:r w:rsidRPr="00E32762">
        <w:rPr>
          <w:rFonts w:ascii="Times New Roman" w:hAnsi="Times New Roman"/>
          <w:sz w:val="24"/>
          <w:szCs w:val="24"/>
        </w:rPr>
        <w:t>Sveučilišta</w:t>
      </w:r>
      <w:proofErr w:type="spellEnd"/>
      <w:r w:rsidR="00241B6A">
        <w:rPr>
          <w:rFonts w:ascii="Times New Roman" w:hAnsi="Times New Roman"/>
          <w:sz w:val="24"/>
          <w:szCs w:val="24"/>
        </w:rPr>
        <w:t xml:space="preserve"> u </w:t>
      </w:r>
      <w:proofErr w:type="spellStart"/>
      <w:r w:rsidR="00241B6A">
        <w:rPr>
          <w:rFonts w:ascii="Times New Roman" w:hAnsi="Times New Roman"/>
          <w:sz w:val="24"/>
          <w:szCs w:val="24"/>
        </w:rPr>
        <w:t>Dubrovniku</w:t>
      </w:r>
      <w:proofErr w:type="spellEnd"/>
      <w:r w:rsidRPr="00E32762">
        <w:rPr>
          <w:rFonts w:ascii="Times New Roman" w:hAnsi="Times New Roman"/>
          <w:sz w:val="24"/>
          <w:szCs w:val="24"/>
        </w:rPr>
        <w:t xml:space="preserve"> 2016.-2020. </w:t>
      </w:r>
    </w:p>
    <w:p w14:paraId="3F8CA2FB" w14:textId="2366E9C6" w:rsidR="00C51C46" w:rsidRDefault="00C51C46" w:rsidP="00C51C46">
      <w:pPr>
        <w:jc w:val="both"/>
        <w:rPr>
          <w:i/>
        </w:rPr>
      </w:pPr>
    </w:p>
    <w:p w14:paraId="3E230395" w14:textId="604D3CE0" w:rsidR="00AF32E1" w:rsidRDefault="00AF32E1" w:rsidP="00C51C46">
      <w:pPr>
        <w:jc w:val="both"/>
        <w:rPr>
          <w:i/>
        </w:rPr>
      </w:pPr>
    </w:p>
    <w:p w14:paraId="0E253DBC" w14:textId="45BE1F67" w:rsidR="00AF32E1" w:rsidRDefault="00AF32E1" w:rsidP="00C51C46">
      <w:pPr>
        <w:jc w:val="both"/>
        <w:rPr>
          <w:i/>
        </w:rPr>
      </w:pPr>
    </w:p>
    <w:p w14:paraId="29C77E8C" w14:textId="654E8950" w:rsidR="00AF32E1" w:rsidRDefault="00AF32E1" w:rsidP="00C51C46">
      <w:pPr>
        <w:jc w:val="both"/>
        <w:rPr>
          <w:i/>
        </w:rPr>
      </w:pPr>
    </w:p>
    <w:p w14:paraId="10F6B4B5" w14:textId="77777777" w:rsidR="00AF32E1" w:rsidRPr="008328C1" w:rsidRDefault="00AF32E1" w:rsidP="00C51C46">
      <w:pPr>
        <w:jc w:val="both"/>
        <w:rPr>
          <w:i/>
        </w:rPr>
      </w:pPr>
    </w:p>
    <w:tbl>
      <w:tblPr>
        <w:tblStyle w:val="TableGrid"/>
        <w:tblW w:w="0" w:type="auto"/>
        <w:tblLook w:val="04A0" w:firstRow="1" w:lastRow="0" w:firstColumn="1" w:lastColumn="0" w:noHBand="0" w:noVBand="1"/>
      </w:tblPr>
      <w:tblGrid>
        <w:gridCol w:w="1523"/>
        <w:gridCol w:w="75"/>
        <w:gridCol w:w="1205"/>
        <w:gridCol w:w="16"/>
        <w:gridCol w:w="1280"/>
        <w:gridCol w:w="16"/>
        <w:gridCol w:w="1280"/>
        <w:gridCol w:w="16"/>
        <w:gridCol w:w="1280"/>
        <w:gridCol w:w="16"/>
        <w:gridCol w:w="1280"/>
        <w:gridCol w:w="16"/>
        <w:gridCol w:w="1059"/>
      </w:tblGrid>
      <w:tr w:rsidR="000C2FBC" w:rsidRPr="009D005B" w14:paraId="3DAA2880" w14:textId="77777777" w:rsidTr="00EB077E">
        <w:tc>
          <w:tcPr>
            <w:tcW w:w="1523" w:type="dxa"/>
            <w:shd w:val="clear" w:color="auto" w:fill="D0CECE" w:themeFill="background2" w:themeFillShade="E6"/>
          </w:tcPr>
          <w:p w14:paraId="0042FC01" w14:textId="77777777" w:rsidR="00EB077E" w:rsidRPr="009D005B" w:rsidRDefault="00EB077E" w:rsidP="00A332F5">
            <w:pPr>
              <w:jc w:val="both"/>
            </w:pPr>
          </w:p>
          <w:p w14:paraId="24CA62EB" w14:textId="77777777" w:rsidR="00EB077E" w:rsidRPr="009D005B" w:rsidRDefault="00EB077E" w:rsidP="00A332F5">
            <w:pPr>
              <w:jc w:val="both"/>
            </w:pPr>
          </w:p>
        </w:tc>
        <w:tc>
          <w:tcPr>
            <w:tcW w:w="1296" w:type="dxa"/>
            <w:gridSpan w:val="3"/>
            <w:shd w:val="clear" w:color="auto" w:fill="D0CECE" w:themeFill="background2" w:themeFillShade="E6"/>
            <w:vAlign w:val="center"/>
          </w:tcPr>
          <w:p w14:paraId="03419FD4" w14:textId="77777777" w:rsidR="00EB077E" w:rsidRPr="006E0C0D" w:rsidRDefault="00EB077E" w:rsidP="00A332F5">
            <w:pPr>
              <w:jc w:val="center"/>
            </w:pPr>
            <w:r>
              <w:t>Izvršenje 2021</w:t>
            </w:r>
            <w:r w:rsidRPr="006E0C0D">
              <w:t>.</w:t>
            </w:r>
          </w:p>
        </w:tc>
        <w:tc>
          <w:tcPr>
            <w:tcW w:w="1296" w:type="dxa"/>
            <w:gridSpan w:val="2"/>
            <w:shd w:val="clear" w:color="auto" w:fill="D0CECE" w:themeFill="background2" w:themeFillShade="E6"/>
            <w:vAlign w:val="center"/>
          </w:tcPr>
          <w:p w14:paraId="079D2A56" w14:textId="77777777" w:rsidR="00EB077E" w:rsidRPr="009D005B" w:rsidRDefault="00EB077E" w:rsidP="00A332F5">
            <w:pPr>
              <w:jc w:val="center"/>
            </w:pPr>
            <w:r w:rsidRPr="009D005B">
              <w:t>Plan 20</w:t>
            </w:r>
            <w:r>
              <w:t>22</w:t>
            </w:r>
            <w:r w:rsidRPr="009D005B">
              <w:t>.</w:t>
            </w:r>
          </w:p>
        </w:tc>
        <w:tc>
          <w:tcPr>
            <w:tcW w:w="1296" w:type="dxa"/>
            <w:gridSpan w:val="2"/>
            <w:shd w:val="clear" w:color="auto" w:fill="D0CECE" w:themeFill="background2" w:themeFillShade="E6"/>
            <w:vAlign w:val="center"/>
          </w:tcPr>
          <w:p w14:paraId="336DE010" w14:textId="77777777" w:rsidR="00EB077E" w:rsidRPr="009D005B" w:rsidRDefault="00EB077E" w:rsidP="00A332F5">
            <w:pPr>
              <w:jc w:val="center"/>
            </w:pPr>
            <w:r w:rsidRPr="009D005B">
              <w:t>Plan 202</w:t>
            </w:r>
            <w:r>
              <w:t>3</w:t>
            </w:r>
            <w:r w:rsidRPr="009D005B">
              <w:t>.</w:t>
            </w:r>
          </w:p>
        </w:tc>
        <w:tc>
          <w:tcPr>
            <w:tcW w:w="1296" w:type="dxa"/>
            <w:gridSpan w:val="2"/>
            <w:shd w:val="clear" w:color="auto" w:fill="D0CECE" w:themeFill="background2" w:themeFillShade="E6"/>
            <w:vAlign w:val="center"/>
          </w:tcPr>
          <w:p w14:paraId="1939A6D7" w14:textId="77777777" w:rsidR="00EB077E" w:rsidRPr="009D005B" w:rsidRDefault="00EB077E" w:rsidP="00A332F5">
            <w:pPr>
              <w:jc w:val="center"/>
            </w:pPr>
            <w:r w:rsidRPr="009D005B">
              <w:t>Plan 202</w:t>
            </w:r>
            <w:r>
              <w:t>4</w:t>
            </w:r>
            <w:r w:rsidRPr="009D005B">
              <w:t>.</w:t>
            </w:r>
          </w:p>
        </w:tc>
        <w:tc>
          <w:tcPr>
            <w:tcW w:w="1296" w:type="dxa"/>
            <w:gridSpan w:val="2"/>
            <w:shd w:val="clear" w:color="auto" w:fill="D0CECE" w:themeFill="background2" w:themeFillShade="E6"/>
            <w:vAlign w:val="center"/>
          </w:tcPr>
          <w:p w14:paraId="53C232F3" w14:textId="77777777" w:rsidR="00EB077E" w:rsidRPr="009D005B" w:rsidRDefault="00EB077E" w:rsidP="00A332F5">
            <w:pPr>
              <w:jc w:val="center"/>
            </w:pPr>
            <w:r w:rsidRPr="009D005B">
              <w:t>Plan 202</w:t>
            </w:r>
            <w:r>
              <w:t>5</w:t>
            </w:r>
            <w:r w:rsidRPr="009D005B">
              <w:t>.</w:t>
            </w:r>
          </w:p>
        </w:tc>
        <w:tc>
          <w:tcPr>
            <w:tcW w:w="1059" w:type="dxa"/>
            <w:shd w:val="clear" w:color="auto" w:fill="D0CECE" w:themeFill="background2" w:themeFillShade="E6"/>
            <w:vAlign w:val="center"/>
          </w:tcPr>
          <w:p w14:paraId="5C29763F" w14:textId="5015230D" w:rsidR="00EB077E" w:rsidRPr="009D005B" w:rsidRDefault="00EB077E" w:rsidP="00A332F5">
            <w:pPr>
              <w:jc w:val="center"/>
            </w:pPr>
            <w:r w:rsidRPr="009D005B">
              <w:t>Indeks 2</w:t>
            </w:r>
            <w:r>
              <w:t>3</w:t>
            </w:r>
            <w:r w:rsidRPr="009D005B">
              <w:t>./</w:t>
            </w:r>
            <w:r>
              <w:t>22</w:t>
            </w:r>
            <w:r w:rsidRPr="009D005B">
              <w:t>.</w:t>
            </w:r>
          </w:p>
        </w:tc>
      </w:tr>
      <w:tr w:rsidR="000C2FBC" w:rsidRPr="009D005B" w14:paraId="2F4916A7" w14:textId="77777777" w:rsidTr="00EB077E">
        <w:tc>
          <w:tcPr>
            <w:tcW w:w="1598" w:type="dxa"/>
            <w:gridSpan w:val="2"/>
          </w:tcPr>
          <w:p w14:paraId="10CF3677" w14:textId="77777777" w:rsidR="00C51C46" w:rsidRDefault="00C51C46" w:rsidP="00C51C46">
            <w:r>
              <w:t>A622122</w:t>
            </w:r>
          </w:p>
          <w:p w14:paraId="757D39BC" w14:textId="276849A6" w:rsidR="00C51C46" w:rsidRPr="009D005B" w:rsidRDefault="00C51C46" w:rsidP="00364086">
            <w:r>
              <w:t xml:space="preserve">Programsko financiranje javnih visokih učilišta </w:t>
            </w:r>
          </w:p>
        </w:tc>
        <w:tc>
          <w:tcPr>
            <w:tcW w:w="1205" w:type="dxa"/>
            <w:shd w:val="clear" w:color="auto" w:fill="auto"/>
          </w:tcPr>
          <w:p w14:paraId="601CC553" w14:textId="7E52518F" w:rsidR="00675A84" w:rsidRPr="00675A84" w:rsidRDefault="000C2FBC" w:rsidP="000C2FBC">
            <w:pPr>
              <w:jc w:val="center"/>
            </w:pPr>
            <w:r>
              <w:t>736.993</w:t>
            </w:r>
          </w:p>
        </w:tc>
        <w:tc>
          <w:tcPr>
            <w:tcW w:w="1296" w:type="dxa"/>
            <w:gridSpan w:val="2"/>
          </w:tcPr>
          <w:p w14:paraId="0F336C27" w14:textId="55EB5961" w:rsidR="00C51C46" w:rsidRPr="0026307B" w:rsidRDefault="000C2FBC" w:rsidP="0026307B">
            <w:pPr>
              <w:jc w:val="center"/>
            </w:pPr>
            <w:r>
              <w:t>683.775</w:t>
            </w:r>
          </w:p>
          <w:p w14:paraId="4ACAEDDF" w14:textId="0596BE60" w:rsidR="00BC2AF2" w:rsidRPr="0026307B" w:rsidRDefault="00BC2AF2" w:rsidP="0026307B">
            <w:pPr>
              <w:jc w:val="center"/>
            </w:pPr>
          </w:p>
        </w:tc>
        <w:tc>
          <w:tcPr>
            <w:tcW w:w="1296" w:type="dxa"/>
            <w:gridSpan w:val="2"/>
          </w:tcPr>
          <w:p w14:paraId="6614735A" w14:textId="64FC59E6" w:rsidR="00C51C46" w:rsidRPr="009D005B" w:rsidRDefault="000C2FBC" w:rsidP="000C2FBC">
            <w:pPr>
              <w:jc w:val="center"/>
            </w:pPr>
            <w:r>
              <w:t>736.816</w:t>
            </w:r>
          </w:p>
        </w:tc>
        <w:tc>
          <w:tcPr>
            <w:tcW w:w="1296" w:type="dxa"/>
            <w:gridSpan w:val="2"/>
          </w:tcPr>
          <w:p w14:paraId="399A40C0" w14:textId="6C37B08C" w:rsidR="00C51C46" w:rsidRPr="009D005B" w:rsidRDefault="000C2FBC" w:rsidP="000C2FBC">
            <w:pPr>
              <w:jc w:val="center"/>
            </w:pPr>
            <w:r>
              <w:t>736</w:t>
            </w:r>
            <w:r w:rsidR="007B3CA2">
              <w:t>.</w:t>
            </w:r>
            <w:r>
              <w:t>816</w:t>
            </w:r>
          </w:p>
        </w:tc>
        <w:tc>
          <w:tcPr>
            <w:tcW w:w="1296" w:type="dxa"/>
            <w:gridSpan w:val="2"/>
          </w:tcPr>
          <w:p w14:paraId="6DB2E5A8" w14:textId="7830FFB6" w:rsidR="00C51C46" w:rsidRPr="009D005B" w:rsidRDefault="000C2FBC" w:rsidP="000C2FBC">
            <w:pPr>
              <w:jc w:val="center"/>
            </w:pPr>
            <w:r>
              <w:t>736.816</w:t>
            </w:r>
          </w:p>
        </w:tc>
        <w:tc>
          <w:tcPr>
            <w:tcW w:w="1075" w:type="dxa"/>
            <w:gridSpan w:val="2"/>
          </w:tcPr>
          <w:p w14:paraId="03214B0E" w14:textId="3CDFD74C" w:rsidR="00C51C46" w:rsidRPr="0026307B" w:rsidRDefault="0026307B" w:rsidP="000C2FBC">
            <w:pPr>
              <w:jc w:val="center"/>
            </w:pPr>
            <w:r w:rsidRPr="0026307B">
              <w:t>10</w:t>
            </w:r>
            <w:r w:rsidR="000C2FBC">
              <w:t>8</w:t>
            </w:r>
          </w:p>
        </w:tc>
      </w:tr>
    </w:tbl>
    <w:p w14:paraId="21F6D1D9" w14:textId="77777777" w:rsidR="00C51C46" w:rsidRDefault="00C51C46" w:rsidP="00C51C46">
      <w:pPr>
        <w:jc w:val="both"/>
        <w:rPr>
          <w:i/>
        </w:rPr>
      </w:pPr>
    </w:p>
    <w:p w14:paraId="14DD3FC3" w14:textId="04F642BC" w:rsidR="00C51C46" w:rsidRPr="00982FDE" w:rsidRDefault="00C51C46" w:rsidP="00C51C46">
      <w:pPr>
        <w:jc w:val="both"/>
      </w:pPr>
      <w:r w:rsidRPr="00982FDE">
        <w:t>Ova aktivnost provodi se sukladno novom Programskom ugovoru zaključenom u svibnju 2019.g., od akademske godine 2018/19</w:t>
      </w:r>
      <w:r w:rsidR="00A83F23" w:rsidRPr="00982FDE">
        <w:t>, u 2019/20. te u 2020/21. i 2021/22.g.</w:t>
      </w:r>
    </w:p>
    <w:p w14:paraId="06E3CBB9" w14:textId="531B0A25" w:rsidR="00C51C46" w:rsidRPr="00982FDE" w:rsidRDefault="00C51C46" w:rsidP="00C51C46">
      <w:pPr>
        <w:jc w:val="both"/>
      </w:pPr>
      <w:r w:rsidRPr="00982FDE">
        <w:t xml:space="preserve">U razdoblju provedbe programskih ugovora očekuje se ostvarenje sljedećeg: ostvarenje razvojnih pomaka u nastavnoj i znanstvenoj djelatnosti,  uz snaženje istraživačkih </w:t>
      </w:r>
      <w:r w:rsidR="00920F78" w:rsidRPr="00982FDE">
        <w:t xml:space="preserve"> </w:t>
      </w:r>
      <w:r w:rsidRPr="00982FDE">
        <w:t>i umjetničkih kapaciteta te postizanje utvrđenih institucijskih ciljeva, a sve u skladu s realizacijom utvrđenih ciljeva programskog financiranja:</w:t>
      </w:r>
    </w:p>
    <w:p w14:paraId="6C0B2E4E" w14:textId="77777777" w:rsidR="00C51C46" w:rsidRPr="00982FDE" w:rsidRDefault="00C51C46" w:rsidP="00C51C46">
      <w:pPr>
        <w:jc w:val="both"/>
      </w:pPr>
    </w:p>
    <w:p w14:paraId="03FC45B9" w14:textId="77777777" w:rsidR="00C51C46" w:rsidRPr="00982FDE" w:rsidRDefault="00C51C46" w:rsidP="00C51C46">
      <w:pPr>
        <w:numPr>
          <w:ilvl w:val="0"/>
          <w:numId w:val="9"/>
        </w:numPr>
        <w:tabs>
          <w:tab w:val="left" w:pos="709"/>
        </w:tabs>
        <w:spacing w:after="120"/>
        <w:ind w:left="709" w:hanging="283"/>
        <w:jc w:val="both"/>
        <w:rPr>
          <w:rFonts w:cs="Times New Roman (Body CS)"/>
        </w:rPr>
      </w:pPr>
      <w:r w:rsidRPr="00982FDE">
        <w:rPr>
          <w:rFonts w:cs="Times New Roman (Body CS)"/>
        </w:rPr>
        <w:t xml:space="preserve">Relevantnost u odnosu na sadašnje i buduće potrebe tržišta rada te razvoja gospodarstva i društva, učinkovitost i internacionalizacija visokog obrazovanja </w:t>
      </w:r>
    </w:p>
    <w:p w14:paraId="000B8687" w14:textId="77777777" w:rsidR="00C51C46" w:rsidRPr="00982FDE" w:rsidRDefault="00C51C46" w:rsidP="00C51C46">
      <w:pPr>
        <w:numPr>
          <w:ilvl w:val="0"/>
          <w:numId w:val="9"/>
        </w:numPr>
        <w:tabs>
          <w:tab w:val="left" w:pos="426"/>
        </w:tabs>
        <w:spacing w:after="120"/>
        <w:ind w:left="426" w:firstLine="0"/>
        <w:jc w:val="both"/>
        <w:rPr>
          <w:rFonts w:cs="Times New Roman (Body CS)"/>
        </w:rPr>
      </w:pPr>
      <w:r w:rsidRPr="00982FDE">
        <w:rPr>
          <w:rFonts w:cs="Times New Roman (Body CS)"/>
        </w:rPr>
        <w:t>Izvrsnost znanstvenog i umjetničkog rada</w:t>
      </w:r>
    </w:p>
    <w:p w14:paraId="5534A4FC" w14:textId="77777777" w:rsidR="00C51C46" w:rsidRPr="00982FDE" w:rsidRDefault="00C51C46" w:rsidP="00C51C46">
      <w:pPr>
        <w:numPr>
          <w:ilvl w:val="0"/>
          <w:numId w:val="9"/>
        </w:numPr>
        <w:tabs>
          <w:tab w:val="left" w:pos="426"/>
        </w:tabs>
        <w:spacing w:after="120"/>
        <w:ind w:left="426" w:firstLine="0"/>
        <w:jc w:val="both"/>
        <w:rPr>
          <w:rFonts w:cs="Times New Roman (Body CS)"/>
        </w:rPr>
      </w:pPr>
      <w:r w:rsidRPr="00982FDE">
        <w:rPr>
          <w:rFonts w:cs="Times New Roman (Body CS)"/>
        </w:rPr>
        <w:t xml:space="preserve">Znanost, umjetnost i visoko obrazovanje kao pokretači promjena u društvu i gospodarstvu. </w:t>
      </w:r>
    </w:p>
    <w:p w14:paraId="5FAA3D60" w14:textId="77777777" w:rsidR="00C51C46" w:rsidRDefault="00C51C46" w:rsidP="00C51C46">
      <w:pPr>
        <w:jc w:val="both"/>
        <w:rPr>
          <w:i/>
        </w:rPr>
      </w:pPr>
    </w:p>
    <w:p w14:paraId="4ED5C193" w14:textId="37C79B43" w:rsidR="00C51C46" w:rsidRPr="007F58F2" w:rsidRDefault="00C51C46" w:rsidP="00C51C46">
      <w:pPr>
        <w:jc w:val="both"/>
        <w:rPr>
          <w:b/>
        </w:rPr>
      </w:pPr>
      <w:r w:rsidRPr="007F58F2">
        <w:rPr>
          <w:b/>
        </w:rPr>
        <w:t>Izračun financijskog plana:</w:t>
      </w:r>
    </w:p>
    <w:p w14:paraId="796FF313" w14:textId="2BD78AEF" w:rsidR="00C51C46" w:rsidRPr="007F58F2" w:rsidRDefault="00C51C46" w:rsidP="002847B1">
      <w:pPr>
        <w:jc w:val="both"/>
      </w:pPr>
      <w:r w:rsidRPr="007F58F2">
        <w:t xml:space="preserve">Sredstva programskog financiranja planiraju se za </w:t>
      </w:r>
      <w:r w:rsidR="00A83F23" w:rsidRPr="007F58F2">
        <w:t xml:space="preserve">cijelo razdoblje </w:t>
      </w:r>
      <w:r w:rsidRPr="007F58F2">
        <w:t>202</w:t>
      </w:r>
      <w:r w:rsidR="00E631A9" w:rsidRPr="007F58F2">
        <w:t>3</w:t>
      </w:r>
      <w:r w:rsidR="00A83F23" w:rsidRPr="007F58F2">
        <w:t>.-202</w:t>
      </w:r>
      <w:r w:rsidR="00E631A9" w:rsidRPr="007F58F2">
        <w:t>5</w:t>
      </w:r>
      <w:r w:rsidR="00A83F23" w:rsidRPr="007F58F2">
        <w:t>.</w:t>
      </w:r>
      <w:r w:rsidRPr="007F58F2">
        <w:t>.g. u</w:t>
      </w:r>
      <w:r w:rsidR="00A83F23" w:rsidRPr="007F58F2">
        <w:t xml:space="preserve"> istom iznosu od </w:t>
      </w:r>
      <w:r w:rsidR="00B43F7F">
        <w:t>736.816</w:t>
      </w:r>
      <w:r w:rsidR="00E631A9" w:rsidRPr="007F58F2">
        <w:t xml:space="preserve"> EUR</w:t>
      </w:r>
      <w:r w:rsidR="00A83F23" w:rsidRPr="007F58F2">
        <w:t xml:space="preserve">, </w:t>
      </w:r>
      <w:r w:rsidR="002847B1" w:rsidRPr="007F58F2">
        <w:t xml:space="preserve">prema </w:t>
      </w:r>
      <w:r w:rsidR="00A83F23" w:rsidRPr="007F58F2">
        <w:t>zaključenom programskom ugovoru na četverogodišnje razdoblje.</w:t>
      </w:r>
    </w:p>
    <w:p w14:paraId="14BD4FEC" w14:textId="548E8715" w:rsidR="00C51C46" w:rsidRPr="007F58F2" w:rsidRDefault="00C51C46" w:rsidP="002847B1">
      <w:pPr>
        <w:jc w:val="both"/>
      </w:pPr>
      <w:r w:rsidRPr="007F58F2">
        <w:t xml:space="preserve">Nastavno su prikazani institucijski ciljevi i rezultati koji </w:t>
      </w:r>
      <w:r w:rsidR="001A283C" w:rsidRPr="007F58F2">
        <w:t>su predviđeni Programskim ugovorom</w:t>
      </w:r>
      <w:r w:rsidRPr="007F58F2">
        <w:t xml:space="preserve"> u predstojećem planskom razdoblju programskog financiranja</w:t>
      </w:r>
      <w:r w:rsidR="001A283C" w:rsidRPr="007F58F2">
        <w:t>.</w:t>
      </w:r>
      <w:r w:rsidR="007F58F2" w:rsidRPr="007F58F2">
        <w:t xml:space="preserve"> </w:t>
      </w:r>
    </w:p>
    <w:p w14:paraId="12139555" w14:textId="77777777" w:rsidR="00B317C7" w:rsidRPr="007F58F2" w:rsidRDefault="00B317C7" w:rsidP="002847B1">
      <w:pPr>
        <w:jc w:val="both"/>
      </w:pPr>
    </w:p>
    <w:tbl>
      <w:tblPr>
        <w:tblStyle w:val="TableGrid"/>
        <w:tblW w:w="9782" w:type="dxa"/>
        <w:tblInd w:w="-289" w:type="dxa"/>
        <w:tblLayout w:type="fixed"/>
        <w:tblCellMar>
          <w:left w:w="0" w:type="dxa"/>
          <w:right w:w="0" w:type="dxa"/>
        </w:tblCellMar>
        <w:tblLook w:val="04A0" w:firstRow="1" w:lastRow="0" w:firstColumn="1" w:lastColumn="0" w:noHBand="0" w:noVBand="1"/>
      </w:tblPr>
      <w:tblGrid>
        <w:gridCol w:w="1560"/>
        <w:gridCol w:w="1701"/>
        <w:gridCol w:w="1701"/>
        <w:gridCol w:w="1134"/>
        <w:gridCol w:w="1134"/>
        <w:gridCol w:w="851"/>
        <w:gridCol w:w="850"/>
        <w:gridCol w:w="851"/>
      </w:tblGrid>
      <w:tr w:rsidR="00C51C46" w:rsidRPr="009D005B" w14:paraId="186F28FD" w14:textId="77777777" w:rsidTr="00CE4907">
        <w:tc>
          <w:tcPr>
            <w:tcW w:w="1560" w:type="dxa"/>
            <w:shd w:val="clear" w:color="auto" w:fill="D0CECE" w:themeFill="background2" w:themeFillShade="E6"/>
            <w:vAlign w:val="center"/>
          </w:tcPr>
          <w:p w14:paraId="04DBC7EF" w14:textId="77777777" w:rsidR="00C51C46" w:rsidRPr="009D005B" w:rsidRDefault="00C51C46" w:rsidP="00C51C46">
            <w:pPr>
              <w:jc w:val="center"/>
              <w:rPr>
                <w:sz w:val="20"/>
              </w:rPr>
            </w:pPr>
            <w:r w:rsidRPr="009D005B">
              <w:rPr>
                <w:sz w:val="20"/>
              </w:rPr>
              <w:t>Pokazatelj rezultata</w:t>
            </w:r>
          </w:p>
        </w:tc>
        <w:tc>
          <w:tcPr>
            <w:tcW w:w="1701" w:type="dxa"/>
            <w:shd w:val="clear" w:color="auto" w:fill="D0CECE" w:themeFill="background2" w:themeFillShade="E6"/>
            <w:vAlign w:val="center"/>
          </w:tcPr>
          <w:p w14:paraId="7E91D990" w14:textId="77777777" w:rsidR="00C51C46" w:rsidRPr="009D005B" w:rsidRDefault="00C51C46" w:rsidP="00C51C46">
            <w:pPr>
              <w:jc w:val="center"/>
              <w:rPr>
                <w:sz w:val="20"/>
              </w:rPr>
            </w:pPr>
            <w:r w:rsidRPr="009D005B">
              <w:rPr>
                <w:sz w:val="20"/>
              </w:rPr>
              <w:t>Definicija</w:t>
            </w:r>
          </w:p>
        </w:tc>
        <w:tc>
          <w:tcPr>
            <w:tcW w:w="1701" w:type="dxa"/>
            <w:shd w:val="clear" w:color="auto" w:fill="D0CECE" w:themeFill="background2" w:themeFillShade="E6"/>
            <w:vAlign w:val="center"/>
          </w:tcPr>
          <w:p w14:paraId="3C545CED" w14:textId="77777777" w:rsidR="00C51C46" w:rsidRPr="009D005B" w:rsidRDefault="00C51C46" w:rsidP="00C51C46">
            <w:pPr>
              <w:jc w:val="center"/>
              <w:rPr>
                <w:sz w:val="20"/>
              </w:rPr>
            </w:pPr>
            <w:r w:rsidRPr="009D005B">
              <w:rPr>
                <w:sz w:val="20"/>
              </w:rPr>
              <w:t>Jedinica</w:t>
            </w:r>
          </w:p>
        </w:tc>
        <w:tc>
          <w:tcPr>
            <w:tcW w:w="1134" w:type="dxa"/>
            <w:shd w:val="clear" w:color="auto" w:fill="D0CECE" w:themeFill="background2" w:themeFillShade="E6"/>
            <w:vAlign w:val="center"/>
          </w:tcPr>
          <w:p w14:paraId="0B7DD46E" w14:textId="77777777" w:rsidR="00C51C46" w:rsidRPr="009D005B" w:rsidRDefault="00C51C46" w:rsidP="00C51C46">
            <w:pPr>
              <w:jc w:val="center"/>
              <w:rPr>
                <w:sz w:val="20"/>
              </w:rPr>
            </w:pPr>
            <w:r w:rsidRPr="009D005B">
              <w:rPr>
                <w:sz w:val="20"/>
              </w:rPr>
              <w:t>Polazna vrijednost</w:t>
            </w:r>
          </w:p>
        </w:tc>
        <w:tc>
          <w:tcPr>
            <w:tcW w:w="1134" w:type="dxa"/>
            <w:shd w:val="clear" w:color="auto" w:fill="D0CECE" w:themeFill="background2" w:themeFillShade="E6"/>
            <w:vAlign w:val="center"/>
          </w:tcPr>
          <w:p w14:paraId="754B3BC0" w14:textId="77777777" w:rsidR="00C51C46" w:rsidRPr="009D005B" w:rsidRDefault="00C51C46" w:rsidP="00C51C46">
            <w:pPr>
              <w:jc w:val="center"/>
              <w:rPr>
                <w:sz w:val="20"/>
              </w:rPr>
            </w:pPr>
            <w:r w:rsidRPr="009D005B">
              <w:rPr>
                <w:sz w:val="20"/>
              </w:rPr>
              <w:t>Izvor podataka</w:t>
            </w:r>
          </w:p>
        </w:tc>
        <w:tc>
          <w:tcPr>
            <w:tcW w:w="851" w:type="dxa"/>
            <w:shd w:val="clear" w:color="auto" w:fill="D0CECE" w:themeFill="background2" w:themeFillShade="E6"/>
            <w:vAlign w:val="center"/>
          </w:tcPr>
          <w:p w14:paraId="62403301" w14:textId="15A79B62" w:rsidR="00C51C46" w:rsidRPr="009D005B" w:rsidRDefault="00C51C46" w:rsidP="00C51C46">
            <w:pPr>
              <w:jc w:val="center"/>
              <w:rPr>
                <w:sz w:val="20"/>
              </w:rPr>
            </w:pPr>
            <w:r w:rsidRPr="009D005B">
              <w:rPr>
                <w:sz w:val="20"/>
              </w:rPr>
              <w:t>Ciljana vrijednost za 202</w:t>
            </w:r>
            <w:r w:rsidR="00EB077E">
              <w:rPr>
                <w:sz w:val="20"/>
              </w:rPr>
              <w:t>3</w:t>
            </w:r>
            <w:r w:rsidRPr="009D005B">
              <w:rPr>
                <w:sz w:val="20"/>
              </w:rPr>
              <w:t>.</w:t>
            </w:r>
          </w:p>
        </w:tc>
        <w:tc>
          <w:tcPr>
            <w:tcW w:w="850" w:type="dxa"/>
            <w:shd w:val="clear" w:color="auto" w:fill="D0CECE" w:themeFill="background2" w:themeFillShade="E6"/>
          </w:tcPr>
          <w:p w14:paraId="53F189C0" w14:textId="5BF4B6F2" w:rsidR="00C51C46" w:rsidRPr="009D005B" w:rsidRDefault="00C51C46" w:rsidP="00C51C46">
            <w:pPr>
              <w:jc w:val="center"/>
              <w:rPr>
                <w:sz w:val="20"/>
              </w:rPr>
            </w:pPr>
            <w:r w:rsidRPr="009D005B">
              <w:rPr>
                <w:sz w:val="20"/>
              </w:rPr>
              <w:t>Ciljana vrijednost za 202</w:t>
            </w:r>
            <w:r w:rsidR="00EB077E">
              <w:rPr>
                <w:sz w:val="20"/>
              </w:rPr>
              <w:t>4</w:t>
            </w:r>
            <w:r w:rsidRPr="009D005B">
              <w:rPr>
                <w:sz w:val="20"/>
              </w:rPr>
              <w:t>.</w:t>
            </w:r>
          </w:p>
        </w:tc>
        <w:tc>
          <w:tcPr>
            <w:tcW w:w="851" w:type="dxa"/>
            <w:shd w:val="clear" w:color="auto" w:fill="D0CECE" w:themeFill="background2" w:themeFillShade="E6"/>
          </w:tcPr>
          <w:p w14:paraId="743E632A" w14:textId="7A165CF4" w:rsidR="00C51C46" w:rsidRPr="009D005B" w:rsidRDefault="00C51C46" w:rsidP="00C51C46">
            <w:pPr>
              <w:jc w:val="center"/>
              <w:rPr>
                <w:sz w:val="20"/>
              </w:rPr>
            </w:pPr>
            <w:r w:rsidRPr="009D005B">
              <w:rPr>
                <w:sz w:val="20"/>
              </w:rPr>
              <w:t>Ciljana vrijednost za 202</w:t>
            </w:r>
            <w:r w:rsidR="00EB077E">
              <w:rPr>
                <w:sz w:val="20"/>
              </w:rPr>
              <w:t>5</w:t>
            </w:r>
            <w:r w:rsidRPr="009D005B">
              <w:rPr>
                <w:sz w:val="20"/>
              </w:rPr>
              <w:t>.</w:t>
            </w:r>
          </w:p>
        </w:tc>
      </w:tr>
      <w:tr w:rsidR="00C51C46" w:rsidRPr="009D005B" w14:paraId="2E63CE7B" w14:textId="77777777" w:rsidTr="0072384C">
        <w:trPr>
          <w:trHeight w:val="708"/>
        </w:trPr>
        <w:tc>
          <w:tcPr>
            <w:tcW w:w="1560" w:type="dxa"/>
            <w:tcBorders>
              <w:bottom w:val="single" w:sz="4" w:space="0" w:color="auto"/>
            </w:tcBorders>
            <w:shd w:val="clear" w:color="auto" w:fill="auto"/>
            <w:vAlign w:val="center"/>
          </w:tcPr>
          <w:p w14:paraId="78347F77" w14:textId="77777777" w:rsidR="00C51C46" w:rsidRPr="007F58F2" w:rsidRDefault="00C51C46" w:rsidP="00C51C46">
            <w:pPr>
              <w:jc w:val="center"/>
              <w:rPr>
                <w:rFonts w:ascii="Calibri" w:hAnsi="Calibri" w:cs="Times New Roman (Body CS)"/>
                <w:color w:val="000000" w:themeColor="text1"/>
              </w:rPr>
            </w:pPr>
          </w:p>
          <w:p w14:paraId="110AF524" w14:textId="77777777" w:rsidR="00C51C46" w:rsidRPr="007F58F2" w:rsidRDefault="00C51C46" w:rsidP="00C51C46">
            <w:pPr>
              <w:jc w:val="center"/>
              <w:rPr>
                <w:rFonts w:ascii="Calibri" w:hAnsi="Calibri" w:cs="Times New Roman (Body CS)"/>
                <w:color w:val="000000" w:themeColor="text1"/>
              </w:rPr>
            </w:pPr>
            <w:r w:rsidRPr="007F58F2">
              <w:rPr>
                <w:rFonts w:ascii="Calibri" w:hAnsi="Calibri" w:cs="Times New Roman (Body CS)"/>
                <w:color w:val="000000" w:themeColor="text1"/>
              </w:rPr>
              <w:t xml:space="preserve">Broj prijavljenih standarda zanimanja/usklađenih studijskih programa sa </w:t>
            </w:r>
            <w:r w:rsidRPr="007F58F2">
              <w:rPr>
                <w:rFonts w:ascii="Calibri" w:hAnsi="Calibri" w:cs="Times New Roman (Body CS)"/>
                <w:color w:val="000000" w:themeColor="text1"/>
              </w:rPr>
              <w:lastRenderedPageBreak/>
              <w:t>HKO</w:t>
            </w:r>
          </w:p>
          <w:p w14:paraId="6C6B11C2" w14:textId="77777777" w:rsidR="00C51C46" w:rsidRPr="007F58F2" w:rsidRDefault="00C51C46" w:rsidP="00C51C46">
            <w:pPr>
              <w:jc w:val="center"/>
              <w:rPr>
                <w:rFonts w:ascii="Calibri" w:hAnsi="Calibri" w:cs="Times New Roman (Body CS)"/>
                <w:color w:val="000000" w:themeColor="text1"/>
              </w:rPr>
            </w:pPr>
          </w:p>
        </w:tc>
        <w:tc>
          <w:tcPr>
            <w:tcW w:w="1701" w:type="dxa"/>
            <w:tcBorders>
              <w:bottom w:val="single" w:sz="4" w:space="0" w:color="auto"/>
            </w:tcBorders>
            <w:shd w:val="clear" w:color="auto" w:fill="auto"/>
            <w:vAlign w:val="center"/>
          </w:tcPr>
          <w:p w14:paraId="62953BB5" w14:textId="77777777" w:rsidR="00C51C46" w:rsidRPr="007F58F2" w:rsidRDefault="00C51C46" w:rsidP="00C51C46">
            <w:pPr>
              <w:jc w:val="center"/>
              <w:rPr>
                <w:rFonts w:ascii="Calibri" w:hAnsi="Calibri" w:cs="Times New Roman (Body CS)"/>
                <w:color w:val="000000" w:themeColor="text1"/>
              </w:rPr>
            </w:pPr>
            <w:r w:rsidRPr="007F58F2">
              <w:rPr>
                <w:rFonts w:ascii="Calibri" w:hAnsi="Calibri" w:cs="Times New Roman (Body CS)"/>
                <w:color w:val="000000" w:themeColor="text1"/>
              </w:rPr>
              <w:lastRenderedPageBreak/>
              <w:t xml:space="preserve">Usklađenost studijskih programa sa standardima kvalifikacija iz Registra Hrvatskog </w:t>
            </w:r>
            <w:r w:rsidRPr="007F58F2">
              <w:rPr>
                <w:rFonts w:ascii="Calibri" w:hAnsi="Calibri" w:cs="Times New Roman (Body CS)"/>
                <w:color w:val="000000" w:themeColor="text1"/>
              </w:rPr>
              <w:lastRenderedPageBreak/>
              <w:t>kvalifikaci</w:t>
            </w:r>
            <w:bookmarkStart w:id="0" w:name="_GoBack"/>
            <w:bookmarkEnd w:id="0"/>
            <w:r w:rsidRPr="007F58F2">
              <w:rPr>
                <w:rFonts w:ascii="Calibri" w:hAnsi="Calibri" w:cs="Times New Roman (Body CS)"/>
                <w:color w:val="000000" w:themeColor="text1"/>
              </w:rPr>
              <w:t>jskog okvira</w:t>
            </w:r>
          </w:p>
          <w:p w14:paraId="12206EE4" w14:textId="77777777" w:rsidR="00C51C46" w:rsidRPr="007F58F2" w:rsidRDefault="00C51C46" w:rsidP="00C51C46">
            <w:pPr>
              <w:jc w:val="center"/>
              <w:rPr>
                <w:rFonts w:ascii="Calibri" w:hAnsi="Calibri" w:cs="Times New Roman (Body CS)"/>
                <w:color w:val="000000" w:themeColor="text1"/>
              </w:rPr>
            </w:pPr>
          </w:p>
        </w:tc>
        <w:tc>
          <w:tcPr>
            <w:tcW w:w="1701" w:type="dxa"/>
            <w:tcBorders>
              <w:bottom w:val="single" w:sz="4" w:space="0" w:color="auto"/>
            </w:tcBorders>
            <w:shd w:val="clear" w:color="auto" w:fill="auto"/>
            <w:vAlign w:val="center"/>
          </w:tcPr>
          <w:p w14:paraId="014AD608" w14:textId="77777777" w:rsidR="00C51C46" w:rsidRPr="007F58F2" w:rsidRDefault="00C51C46" w:rsidP="00C51C46">
            <w:pPr>
              <w:jc w:val="center"/>
              <w:rPr>
                <w:rFonts w:ascii="Calibri" w:hAnsi="Calibri" w:cs="Times New Roman (Body CS)"/>
                <w:color w:val="000000" w:themeColor="text1"/>
              </w:rPr>
            </w:pPr>
            <w:r w:rsidRPr="007F58F2">
              <w:rPr>
                <w:rFonts w:ascii="Calibri" w:hAnsi="Calibri" w:cs="Times New Roman (Body CS)"/>
                <w:color w:val="000000" w:themeColor="text1"/>
              </w:rPr>
              <w:lastRenderedPageBreak/>
              <w:t>studijski program</w:t>
            </w:r>
          </w:p>
        </w:tc>
        <w:tc>
          <w:tcPr>
            <w:tcW w:w="1134" w:type="dxa"/>
            <w:tcBorders>
              <w:bottom w:val="single" w:sz="4" w:space="0" w:color="auto"/>
            </w:tcBorders>
            <w:shd w:val="clear" w:color="auto" w:fill="auto"/>
            <w:vAlign w:val="center"/>
          </w:tcPr>
          <w:p w14:paraId="2F01A309" w14:textId="3C1C96F7" w:rsidR="00C51C46" w:rsidRPr="007F58F2" w:rsidRDefault="009422A1" w:rsidP="00C51C46">
            <w:pPr>
              <w:jc w:val="center"/>
              <w:rPr>
                <w:rFonts w:ascii="Calibri" w:hAnsi="Calibri" w:cs="Times New Roman (Body CS)"/>
                <w:color w:val="000000" w:themeColor="text1"/>
              </w:rPr>
            </w:pPr>
            <w:r>
              <w:rPr>
                <w:rFonts w:ascii="Calibri" w:hAnsi="Calibri" w:cs="Times New Roman (Body CS)"/>
                <w:color w:val="000000" w:themeColor="text1"/>
              </w:rPr>
              <w:t>0</w:t>
            </w:r>
            <w:r w:rsidR="00C51C46" w:rsidRPr="007F58F2">
              <w:rPr>
                <w:rFonts w:ascii="Calibri" w:hAnsi="Calibri" w:cs="Times New Roman (Body CS)"/>
                <w:color w:val="000000" w:themeColor="text1"/>
              </w:rPr>
              <w:t xml:space="preserve"> - predan zahtjev za upis standarda zanimanja</w:t>
            </w:r>
            <w:r w:rsidR="00482C87" w:rsidRPr="007F58F2">
              <w:rPr>
                <w:rFonts w:ascii="Calibri" w:hAnsi="Calibri" w:cs="Times New Roman (Body CS)"/>
                <w:color w:val="000000" w:themeColor="text1"/>
              </w:rPr>
              <w:t>, izvršen jedan upis</w:t>
            </w:r>
          </w:p>
          <w:p w14:paraId="6CD8579A" w14:textId="77777777" w:rsidR="00C51C46" w:rsidRPr="007F58F2" w:rsidRDefault="00C51C46" w:rsidP="00C51C46">
            <w:pPr>
              <w:jc w:val="center"/>
              <w:rPr>
                <w:rFonts w:ascii="Calibri" w:hAnsi="Calibri" w:cs="Times New Roman (Body CS)"/>
                <w:color w:val="000000" w:themeColor="text1"/>
              </w:rPr>
            </w:pPr>
          </w:p>
        </w:tc>
        <w:tc>
          <w:tcPr>
            <w:tcW w:w="1134" w:type="dxa"/>
            <w:tcBorders>
              <w:bottom w:val="single" w:sz="4" w:space="0" w:color="auto"/>
            </w:tcBorders>
            <w:shd w:val="clear" w:color="auto" w:fill="auto"/>
            <w:vAlign w:val="center"/>
          </w:tcPr>
          <w:p w14:paraId="42A5914A" w14:textId="77777777" w:rsidR="00C51C46" w:rsidRPr="007F58F2" w:rsidRDefault="00C51C46" w:rsidP="00C51C46">
            <w:pPr>
              <w:jc w:val="center"/>
              <w:rPr>
                <w:rFonts w:ascii="Calibri" w:hAnsi="Calibri" w:cs="Times New Roman (Body CS)"/>
                <w:color w:val="000000" w:themeColor="text1"/>
              </w:rPr>
            </w:pPr>
            <w:r w:rsidRPr="007F58F2">
              <w:rPr>
                <w:rFonts w:ascii="Calibri" w:hAnsi="Calibri" w:cs="Times New Roman (Body CS)"/>
                <w:color w:val="000000" w:themeColor="text1"/>
              </w:rPr>
              <w:lastRenderedPageBreak/>
              <w:t>Sveučilište</w:t>
            </w:r>
          </w:p>
        </w:tc>
        <w:tc>
          <w:tcPr>
            <w:tcW w:w="851" w:type="dxa"/>
            <w:tcBorders>
              <w:bottom w:val="single" w:sz="4" w:space="0" w:color="auto"/>
            </w:tcBorders>
            <w:shd w:val="clear" w:color="auto" w:fill="auto"/>
            <w:vAlign w:val="center"/>
          </w:tcPr>
          <w:p w14:paraId="64C39A20" w14:textId="2FD85055" w:rsidR="00C51C46" w:rsidRPr="007F58F2" w:rsidRDefault="009422A1" w:rsidP="00C51C46">
            <w:pPr>
              <w:jc w:val="center"/>
              <w:rPr>
                <w:rFonts w:cs="Times New Roman (Body CS)"/>
                <w:color w:val="000000" w:themeColor="text1"/>
              </w:rPr>
            </w:pPr>
            <w:r>
              <w:rPr>
                <w:rFonts w:cs="Times New Roman (Body CS)"/>
                <w:color w:val="000000" w:themeColor="text1"/>
              </w:rPr>
              <w:t>1</w:t>
            </w:r>
          </w:p>
        </w:tc>
        <w:tc>
          <w:tcPr>
            <w:tcW w:w="850" w:type="dxa"/>
            <w:tcBorders>
              <w:bottom w:val="single" w:sz="4" w:space="0" w:color="auto"/>
            </w:tcBorders>
            <w:shd w:val="clear" w:color="auto" w:fill="auto"/>
            <w:vAlign w:val="center"/>
          </w:tcPr>
          <w:p w14:paraId="3EFC9A16" w14:textId="188E951D" w:rsidR="00C51C46" w:rsidRPr="007F58F2" w:rsidRDefault="009422A1" w:rsidP="00C51C46">
            <w:pPr>
              <w:jc w:val="center"/>
            </w:pPr>
            <w:r>
              <w:t>2</w:t>
            </w:r>
          </w:p>
        </w:tc>
        <w:tc>
          <w:tcPr>
            <w:tcW w:w="851" w:type="dxa"/>
            <w:tcBorders>
              <w:bottom w:val="single" w:sz="4" w:space="0" w:color="auto"/>
            </w:tcBorders>
            <w:shd w:val="clear" w:color="auto" w:fill="auto"/>
            <w:vAlign w:val="center"/>
          </w:tcPr>
          <w:p w14:paraId="7BB01D5F" w14:textId="30FB30E9" w:rsidR="00C51C46" w:rsidRPr="007F58F2" w:rsidRDefault="009422A1" w:rsidP="00C51C46">
            <w:pPr>
              <w:jc w:val="center"/>
            </w:pPr>
            <w:r>
              <w:t>2</w:t>
            </w:r>
          </w:p>
        </w:tc>
      </w:tr>
      <w:tr w:rsidR="00C51C46" w:rsidRPr="009D005B" w14:paraId="33B8F612" w14:textId="77777777" w:rsidTr="00CE4907">
        <w:tc>
          <w:tcPr>
            <w:tcW w:w="1560" w:type="dxa"/>
            <w:tcBorders>
              <w:bottom w:val="single" w:sz="4" w:space="0" w:color="auto"/>
            </w:tcBorders>
            <w:shd w:val="clear" w:color="auto" w:fill="auto"/>
            <w:vAlign w:val="center"/>
          </w:tcPr>
          <w:p w14:paraId="45F52005" w14:textId="77777777" w:rsidR="00C51C46" w:rsidRPr="007F58F2" w:rsidRDefault="00C51C46" w:rsidP="00C51C46">
            <w:pPr>
              <w:jc w:val="center"/>
              <w:rPr>
                <w:rFonts w:ascii="Calibri" w:hAnsi="Calibri" w:cs="Times New Roman (Body CS)"/>
                <w:color w:val="000000" w:themeColor="text1"/>
              </w:rPr>
            </w:pPr>
            <w:r w:rsidRPr="007F58F2">
              <w:rPr>
                <w:rFonts w:ascii="Calibri" w:hAnsi="Calibri" w:cs="Times New Roman (Body CS)"/>
                <w:color w:val="000000" w:themeColor="text1"/>
              </w:rPr>
              <w:lastRenderedPageBreak/>
              <w:t>Broj studenata</w:t>
            </w:r>
          </w:p>
          <w:p w14:paraId="67DA49C3" w14:textId="77777777" w:rsidR="00C51C46" w:rsidRPr="007F58F2" w:rsidRDefault="00C51C46" w:rsidP="00C51C46">
            <w:pPr>
              <w:jc w:val="center"/>
              <w:rPr>
                <w:rFonts w:ascii="Calibri" w:hAnsi="Calibri" w:cs="Times New Roman (Body CS)"/>
                <w:color w:val="000000" w:themeColor="text1"/>
              </w:rPr>
            </w:pPr>
          </w:p>
        </w:tc>
        <w:tc>
          <w:tcPr>
            <w:tcW w:w="1701" w:type="dxa"/>
            <w:tcBorders>
              <w:bottom w:val="single" w:sz="4" w:space="0" w:color="auto"/>
            </w:tcBorders>
            <w:shd w:val="clear" w:color="auto" w:fill="auto"/>
            <w:vAlign w:val="center"/>
          </w:tcPr>
          <w:p w14:paraId="3C4CB7E6" w14:textId="77777777" w:rsidR="00C51C46" w:rsidRPr="007F58F2" w:rsidRDefault="00C51C46" w:rsidP="00C51C46">
            <w:pPr>
              <w:jc w:val="center"/>
              <w:rPr>
                <w:rFonts w:ascii="Calibri" w:hAnsi="Calibri" w:cs="Times New Roman (Body CS)"/>
                <w:color w:val="000000" w:themeColor="text1"/>
              </w:rPr>
            </w:pPr>
            <w:r w:rsidRPr="007F58F2">
              <w:rPr>
                <w:rFonts w:ascii="Calibri" w:hAnsi="Calibri" w:cs="Times New Roman (Body CS)"/>
                <w:color w:val="000000" w:themeColor="text1"/>
              </w:rPr>
              <w:t>Udio dolaznih međunarodnih studenata (dolazna mobilnost studenata)</w:t>
            </w:r>
          </w:p>
          <w:p w14:paraId="6637C845" w14:textId="77777777" w:rsidR="00C51C46" w:rsidRPr="007F58F2" w:rsidRDefault="00C51C46" w:rsidP="00C51C46">
            <w:pPr>
              <w:jc w:val="center"/>
              <w:rPr>
                <w:rFonts w:ascii="Calibri" w:hAnsi="Calibri" w:cs="Times New Roman (Body CS)"/>
                <w:color w:val="000000" w:themeColor="text1"/>
              </w:rPr>
            </w:pPr>
          </w:p>
        </w:tc>
        <w:tc>
          <w:tcPr>
            <w:tcW w:w="1701" w:type="dxa"/>
            <w:tcBorders>
              <w:bottom w:val="single" w:sz="4" w:space="0" w:color="auto"/>
            </w:tcBorders>
            <w:shd w:val="clear" w:color="auto" w:fill="auto"/>
            <w:vAlign w:val="center"/>
          </w:tcPr>
          <w:p w14:paraId="050AF77B" w14:textId="77777777" w:rsidR="00C51C46" w:rsidRPr="007F58F2" w:rsidRDefault="00C51C46" w:rsidP="00C51C46">
            <w:pPr>
              <w:jc w:val="center"/>
              <w:rPr>
                <w:rFonts w:ascii="Calibri" w:hAnsi="Calibri" w:cs="Times New Roman (Body CS)"/>
                <w:color w:val="000000" w:themeColor="text1"/>
              </w:rPr>
            </w:pPr>
            <w:r w:rsidRPr="007F58F2">
              <w:rPr>
                <w:rFonts w:ascii="Calibri" w:hAnsi="Calibri" w:cs="Times New Roman (Body CS)"/>
                <w:color w:val="000000" w:themeColor="text1"/>
              </w:rPr>
              <w:t>student</w:t>
            </w:r>
          </w:p>
        </w:tc>
        <w:tc>
          <w:tcPr>
            <w:tcW w:w="1134" w:type="dxa"/>
            <w:tcBorders>
              <w:bottom w:val="single" w:sz="4" w:space="0" w:color="auto"/>
            </w:tcBorders>
            <w:shd w:val="clear" w:color="auto" w:fill="auto"/>
            <w:vAlign w:val="center"/>
          </w:tcPr>
          <w:p w14:paraId="10C4D931" w14:textId="1EEF4862" w:rsidR="00C51C46" w:rsidRPr="007F58F2" w:rsidRDefault="007F58F2" w:rsidP="00C51C46">
            <w:pPr>
              <w:jc w:val="center"/>
              <w:rPr>
                <w:rFonts w:ascii="Calibri" w:hAnsi="Calibri" w:cs="Times New Roman (Body CS)"/>
                <w:color w:val="000000" w:themeColor="text1"/>
              </w:rPr>
            </w:pPr>
            <w:r w:rsidRPr="007F58F2">
              <w:rPr>
                <w:rFonts w:ascii="Calibri" w:hAnsi="Calibri" w:cs="Times New Roman (Body CS)"/>
                <w:color w:val="000000" w:themeColor="text1"/>
              </w:rPr>
              <w:t>113</w:t>
            </w:r>
          </w:p>
        </w:tc>
        <w:tc>
          <w:tcPr>
            <w:tcW w:w="1134" w:type="dxa"/>
            <w:tcBorders>
              <w:bottom w:val="single" w:sz="4" w:space="0" w:color="auto"/>
            </w:tcBorders>
            <w:shd w:val="clear" w:color="auto" w:fill="auto"/>
            <w:vAlign w:val="center"/>
          </w:tcPr>
          <w:p w14:paraId="6ACCE66B" w14:textId="77777777" w:rsidR="00C51C46" w:rsidRPr="007F58F2" w:rsidRDefault="00C51C46" w:rsidP="00C51C46">
            <w:pPr>
              <w:jc w:val="center"/>
              <w:rPr>
                <w:rFonts w:ascii="Calibri" w:hAnsi="Calibri" w:cs="Times New Roman (Body CS)"/>
                <w:color w:val="000000" w:themeColor="text1"/>
              </w:rPr>
            </w:pPr>
            <w:r w:rsidRPr="007F58F2">
              <w:rPr>
                <w:rFonts w:ascii="Calibri" w:hAnsi="Calibri" w:cs="Times New Roman (Body CS)"/>
                <w:color w:val="000000" w:themeColor="text1"/>
              </w:rPr>
              <w:t>Sveučilište</w:t>
            </w:r>
          </w:p>
        </w:tc>
        <w:tc>
          <w:tcPr>
            <w:tcW w:w="851" w:type="dxa"/>
            <w:tcBorders>
              <w:bottom w:val="single" w:sz="4" w:space="0" w:color="auto"/>
            </w:tcBorders>
            <w:shd w:val="clear" w:color="auto" w:fill="auto"/>
            <w:vAlign w:val="center"/>
          </w:tcPr>
          <w:p w14:paraId="15985BA2" w14:textId="385A83C7" w:rsidR="00C51C46" w:rsidRPr="007F58F2" w:rsidRDefault="007F58F2" w:rsidP="00C51C46">
            <w:pPr>
              <w:jc w:val="center"/>
              <w:rPr>
                <w:rFonts w:cs="Times New Roman (Body CS)"/>
                <w:color w:val="000000" w:themeColor="text1"/>
              </w:rPr>
            </w:pPr>
            <w:r w:rsidRPr="007F58F2">
              <w:rPr>
                <w:rFonts w:cs="Times New Roman (Body CS)"/>
                <w:color w:val="000000" w:themeColor="text1"/>
              </w:rPr>
              <w:t>130</w:t>
            </w:r>
          </w:p>
          <w:p w14:paraId="51B08ADC" w14:textId="61742185" w:rsidR="00891C15" w:rsidRPr="007F58F2" w:rsidRDefault="00891C15" w:rsidP="00C51C46">
            <w:pPr>
              <w:jc w:val="center"/>
              <w:rPr>
                <w:rFonts w:cs="Times New Roman (Body CS)"/>
                <w:color w:val="000000" w:themeColor="text1"/>
              </w:rPr>
            </w:pPr>
          </w:p>
        </w:tc>
        <w:tc>
          <w:tcPr>
            <w:tcW w:w="850" w:type="dxa"/>
            <w:tcBorders>
              <w:bottom w:val="single" w:sz="4" w:space="0" w:color="auto"/>
            </w:tcBorders>
            <w:shd w:val="clear" w:color="auto" w:fill="auto"/>
            <w:vAlign w:val="center"/>
          </w:tcPr>
          <w:p w14:paraId="704F592A" w14:textId="0A6D9A42" w:rsidR="00C51C46" w:rsidRPr="007F58F2" w:rsidRDefault="007F58F2" w:rsidP="00C51C46">
            <w:pPr>
              <w:jc w:val="center"/>
            </w:pPr>
            <w:r w:rsidRPr="007F58F2">
              <w:t>140</w:t>
            </w:r>
          </w:p>
          <w:p w14:paraId="7CCBFAA7" w14:textId="318DF434" w:rsidR="00891C15" w:rsidRPr="007F58F2" w:rsidRDefault="00891C15" w:rsidP="00C51C46">
            <w:pPr>
              <w:jc w:val="center"/>
            </w:pPr>
          </w:p>
        </w:tc>
        <w:tc>
          <w:tcPr>
            <w:tcW w:w="851" w:type="dxa"/>
            <w:tcBorders>
              <w:bottom w:val="single" w:sz="4" w:space="0" w:color="auto"/>
            </w:tcBorders>
            <w:shd w:val="clear" w:color="auto" w:fill="auto"/>
            <w:vAlign w:val="center"/>
          </w:tcPr>
          <w:p w14:paraId="63E81E4A" w14:textId="369A02C8" w:rsidR="00C51C46" w:rsidRPr="007F58F2" w:rsidRDefault="007F58F2" w:rsidP="00C51C46">
            <w:pPr>
              <w:jc w:val="center"/>
            </w:pPr>
            <w:r w:rsidRPr="007F58F2">
              <w:t>150</w:t>
            </w:r>
          </w:p>
          <w:p w14:paraId="385BC59D" w14:textId="7D945DFF" w:rsidR="00891C15" w:rsidRPr="007F58F2" w:rsidRDefault="00891C15" w:rsidP="00C51C46">
            <w:pPr>
              <w:jc w:val="center"/>
            </w:pPr>
          </w:p>
        </w:tc>
      </w:tr>
      <w:tr w:rsidR="00C51C46" w:rsidRPr="009D005B" w14:paraId="46F4EAB5" w14:textId="77777777" w:rsidTr="00CE4907">
        <w:tc>
          <w:tcPr>
            <w:tcW w:w="1560" w:type="dxa"/>
            <w:tcBorders>
              <w:bottom w:val="single" w:sz="4" w:space="0" w:color="auto"/>
            </w:tcBorders>
            <w:shd w:val="clear" w:color="auto" w:fill="auto"/>
            <w:vAlign w:val="center"/>
          </w:tcPr>
          <w:p w14:paraId="59C4E8CE" w14:textId="77777777" w:rsidR="00C51C46" w:rsidRPr="001F3E7B" w:rsidRDefault="00C51C46" w:rsidP="00C51C46">
            <w:pPr>
              <w:jc w:val="center"/>
              <w:rPr>
                <w:rFonts w:ascii="Calibri" w:hAnsi="Calibri" w:cs="Times New Roman (Body CS)"/>
                <w:i/>
                <w:color w:val="000000" w:themeColor="text1"/>
              </w:rPr>
            </w:pPr>
            <w:r w:rsidRPr="001F3E7B">
              <w:rPr>
                <w:rFonts w:ascii="Calibri" w:hAnsi="Calibri" w:cs="Times New Roman (Body CS)"/>
                <w:i/>
                <w:color w:val="000000" w:themeColor="text1"/>
              </w:rPr>
              <w:t>Broj znanstvenih autorskih knjiga s međunarodnom recenzijom</w:t>
            </w:r>
          </w:p>
          <w:p w14:paraId="7223FFA0" w14:textId="77777777" w:rsidR="00C51C46" w:rsidRPr="001F3E7B" w:rsidRDefault="00C51C46" w:rsidP="00C51C46">
            <w:pPr>
              <w:jc w:val="center"/>
              <w:rPr>
                <w:rFonts w:ascii="Calibri" w:hAnsi="Calibri" w:cs="Times New Roman (Body CS)"/>
                <w:i/>
                <w:color w:val="000000" w:themeColor="text1"/>
              </w:rPr>
            </w:pPr>
          </w:p>
        </w:tc>
        <w:tc>
          <w:tcPr>
            <w:tcW w:w="1701" w:type="dxa"/>
            <w:tcBorders>
              <w:bottom w:val="single" w:sz="4" w:space="0" w:color="auto"/>
            </w:tcBorders>
            <w:shd w:val="clear" w:color="auto" w:fill="auto"/>
            <w:vAlign w:val="center"/>
          </w:tcPr>
          <w:p w14:paraId="6A128054" w14:textId="77777777" w:rsidR="00C51C46" w:rsidRPr="001F3E7B" w:rsidRDefault="00C51C46" w:rsidP="00C51C46">
            <w:pPr>
              <w:jc w:val="center"/>
              <w:rPr>
                <w:rFonts w:ascii="Calibri" w:hAnsi="Calibri" w:cs="Times New Roman (Body CS)"/>
                <w:i/>
                <w:color w:val="000000" w:themeColor="text1"/>
              </w:rPr>
            </w:pPr>
            <w:r w:rsidRPr="001F3E7B">
              <w:rPr>
                <w:rFonts w:ascii="Calibri" w:hAnsi="Calibri" w:cs="Times New Roman (Body CS)"/>
                <w:i/>
                <w:color w:val="000000" w:themeColor="text1"/>
              </w:rPr>
              <w:t>Povećanje broja znanstvenih autorskih knjiga s međunarodnom recenzijom</w:t>
            </w:r>
          </w:p>
          <w:p w14:paraId="62D2033C" w14:textId="77777777" w:rsidR="00C51C46" w:rsidRPr="001F3E7B" w:rsidRDefault="00C51C46" w:rsidP="00C51C46">
            <w:pPr>
              <w:jc w:val="center"/>
              <w:rPr>
                <w:rFonts w:ascii="Calibri" w:hAnsi="Calibri" w:cs="Times New Roman (Body CS)"/>
                <w:i/>
                <w:color w:val="000000" w:themeColor="text1"/>
              </w:rPr>
            </w:pPr>
          </w:p>
        </w:tc>
        <w:tc>
          <w:tcPr>
            <w:tcW w:w="1701" w:type="dxa"/>
            <w:tcBorders>
              <w:bottom w:val="single" w:sz="4" w:space="0" w:color="auto"/>
            </w:tcBorders>
            <w:shd w:val="clear" w:color="auto" w:fill="auto"/>
            <w:vAlign w:val="center"/>
          </w:tcPr>
          <w:p w14:paraId="2DD30424" w14:textId="77777777" w:rsidR="00C51C46" w:rsidRPr="001F3E7B" w:rsidRDefault="00C51C46" w:rsidP="00C51C46">
            <w:pPr>
              <w:jc w:val="center"/>
              <w:rPr>
                <w:rFonts w:ascii="Calibri" w:hAnsi="Calibri" w:cs="Times New Roman (Body CS)"/>
                <w:i/>
                <w:color w:val="000000" w:themeColor="text1"/>
              </w:rPr>
            </w:pPr>
            <w:r>
              <w:rPr>
                <w:rFonts w:ascii="Calibri" w:hAnsi="Calibri" w:cs="Times New Roman (Body CS)"/>
                <w:i/>
                <w:color w:val="000000" w:themeColor="text1"/>
              </w:rPr>
              <w:t>z</w:t>
            </w:r>
            <w:r w:rsidRPr="001F3E7B">
              <w:rPr>
                <w:rFonts w:ascii="Calibri" w:hAnsi="Calibri" w:cs="Times New Roman (Body CS)"/>
                <w:i/>
                <w:color w:val="000000" w:themeColor="text1"/>
              </w:rPr>
              <w:t>nanstvena autorska knjiga s međunarodnom recenzijom</w:t>
            </w:r>
          </w:p>
          <w:p w14:paraId="1352AFC6" w14:textId="77777777" w:rsidR="00C51C46" w:rsidRPr="001F3E7B" w:rsidRDefault="00C51C46" w:rsidP="00C51C46">
            <w:pPr>
              <w:jc w:val="center"/>
              <w:rPr>
                <w:rFonts w:ascii="Calibri" w:hAnsi="Calibri" w:cs="Times New Roman (Body CS)"/>
                <w:i/>
                <w:color w:val="000000" w:themeColor="text1"/>
              </w:rPr>
            </w:pPr>
          </w:p>
        </w:tc>
        <w:tc>
          <w:tcPr>
            <w:tcW w:w="1134" w:type="dxa"/>
            <w:tcBorders>
              <w:bottom w:val="single" w:sz="4" w:space="0" w:color="auto"/>
            </w:tcBorders>
            <w:shd w:val="clear" w:color="auto" w:fill="auto"/>
            <w:vAlign w:val="center"/>
          </w:tcPr>
          <w:p w14:paraId="662DF879" w14:textId="12660A74" w:rsidR="00C51C46" w:rsidRPr="001F3E7B" w:rsidRDefault="007F58F2" w:rsidP="00C51C46">
            <w:pPr>
              <w:jc w:val="center"/>
              <w:rPr>
                <w:rFonts w:ascii="Calibri" w:hAnsi="Calibri" w:cs="Times New Roman (Body CS)"/>
                <w:i/>
                <w:color w:val="000000" w:themeColor="text1"/>
              </w:rPr>
            </w:pPr>
            <w:r>
              <w:rPr>
                <w:rFonts w:ascii="Calibri" w:hAnsi="Calibri" w:cs="Times New Roman (Body CS)"/>
                <w:i/>
                <w:color w:val="000000" w:themeColor="text1"/>
              </w:rPr>
              <w:t>1</w:t>
            </w:r>
          </w:p>
        </w:tc>
        <w:tc>
          <w:tcPr>
            <w:tcW w:w="1134" w:type="dxa"/>
            <w:tcBorders>
              <w:bottom w:val="single" w:sz="4" w:space="0" w:color="auto"/>
            </w:tcBorders>
            <w:shd w:val="clear" w:color="auto" w:fill="auto"/>
            <w:vAlign w:val="center"/>
          </w:tcPr>
          <w:p w14:paraId="0CA226FB" w14:textId="77777777" w:rsidR="00C51C46" w:rsidRPr="001F3E7B" w:rsidRDefault="00C51C46" w:rsidP="00C51C46">
            <w:pPr>
              <w:jc w:val="center"/>
              <w:rPr>
                <w:rFonts w:ascii="Calibri" w:hAnsi="Calibri" w:cs="Times New Roman (Body CS)"/>
                <w:i/>
                <w:color w:val="000000" w:themeColor="text1"/>
              </w:rPr>
            </w:pPr>
            <w:r w:rsidRPr="001F3E7B">
              <w:rPr>
                <w:rFonts w:ascii="Calibri" w:hAnsi="Calibri" w:cs="Times New Roman (Body CS)"/>
                <w:i/>
                <w:color w:val="000000" w:themeColor="text1"/>
              </w:rPr>
              <w:t>Sveučilište</w:t>
            </w:r>
          </w:p>
        </w:tc>
        <w:tc>
          <w:tcPr>
            <w:tcW w:w="851" w:type="dxa"/>
            <w:tcBorders>
              <w:bottom w:val="single" w:sz="4" w:space="0" w:color="auto"/>
            </w:tcBorders>
            <w:shd w:val="clear" w:color="auto" w:fill="auto"/>
            <w:vAlign w:val="center"/>
          </w:tcPr>
          <w:p w14:paraId="43BE29AD" w14:textId="78A9A0A5" w:rsidR="00C51C46" w:rsidRPr="007D3C39" w:rsidRDefault="007F58F2" w:rsidP="00C51C46">
            <w:pPr>
              <w:jc w:val="center"/>
              <w:rPr>
                <w:rFonts w:cs="Times New Roman (Body CS)"/>
                <w:i/>
                <w:color w:val="000000" w:themeColor="text1"/>
              </w:rPr>
            </w:pPr>
            <w:r>
              <w:rPr>
                <w:rFonts w:cs="Times New Roman (Body CS)"/>
                <w:i/>
                <w:color w:val="000000" w:themeColor="text1"/>
              </w:rPr>
              <w:t>3</w:t>
            </w:r>
          </w:p>
        </w:tc>
        <w:tc>
          <w:tcPr>
            <w:tcW w:w="850" w:type="dxa"/>
            <w:tcBorders>
              <w:bottom w:val="single" w:sz="4" w:space="0" w:color="auto"/>
            </w:tcBorders>
            <w:shd w:val="clear" w:color="auto" w:fill="auto"/>
            <w:vAlign w:val="center"/>
          </w:tcPr>
          <w:p w14:paraId="7151980E" w14:textId="670A5A1E" w:rsidR="00C51C46" w:rsidRPr="007D3C39" w:rsidRDefault="007F58F2" w:rsidP="00C51C46">
            <w:pPr>
              <w:jc w:val="center"/>
              <w:rPr>
                <w:i/>
              </w:rPr>
            </w:pPr>
            <w:r>
              <w:rPr>
                <w:i/>
              </w:rPr>
              <w:t>4</w:t>
            </w:r>
          </w:p>
        </w:tc>
        <w:tc>
          <w:tcPr>
            <w:tcW w:w="851" w:type="dxa"/>
            <w:tcBorders>
              <w:bottom w:val="single" w:sz="4" w:space="0" w:color="auto"/>
            </w:tcBorders>
            <w:shd w:val="clear" w:color="auto" w:fill="auto"/>
            <w:vAlign w:val="center"/>
          </w:tcPr>
          <w:p w14:paraId="6243327E" w14:textId="2B94706C" w:rsidR="00C51C46" w:rsidRPr="007D3C39" w:rsidRDefault="007F58F2" w:rsidP="00C51C46">
            <w:pPr>
              <w:jc w:val="center"/>
              <w:rPr>
                <w:i/>
              </w:rPr>
            </w:pPr>
            <w:r>
              <w:rPr>
                <w:i/>
              </w:rPr>
              <w:t>5</w:t>
            </w:r>
          </w:p>
        </w:tc>
      </w:tr>
      <w:tr w:rsidR="00CE4907" w:rsidRPr="009D005B" w14:paraId="27C2244D" w14:textId="77777777" w:rsidTr="00CE4907">
        <w:tblPrEx>
          <w:tblCellMar>
            <w:left w:w="108" w:type="dxa"/>
            <w:right w:w="108" w:type="dxa"/>
          </w:tblCellMar>
        </w:tblPrEx>
        <w:tc>
          <w:tcPr>
            <w:tcW w:w="1560" w:type="dxa"/>
          </w:tcPr>
          <w:p w14:paraId="1AE8543C" w14:textId="77777777" w:rsidR="00CE4907" w:rsidRPr="009D005B" w:rsidRDefault="00CE4907" w:rsidP="00B317C7">
            <w:pPr>
              <w:jc w:val="center"/>
              <w:rPr>
                <w:sz w:val="20"/>
              </w:rPr>
            </w:pPr>
            <w:r w:rsidRPr="002E7831">
              <w:rPr>
                <w:color w:val="000000"/>
                <w:sz w:val="21"/>
                <w:szCs w:val="21"/>
              </w:rPr>
              <w:t>Broj studenata koji su u prethodnoj akademskoj godini stekli minimalno 55 ECTS bodova</w:t>
            </w:r>
          </w:p>
        </w:tc>
        <w:tc>
          <w:tcPr>
            <w:tcW w:w="1701" w:type="dxa"/>
          </w:tcPr>
          <w:p w14:paraId="5DF43C2A" w14:textId="77777777" w:rsidR="00CE4907" w:rsidRPr="00D60643" w:rsidRDefault="00CE4907" w:rsidP="00B317C7">
            <w:pPr>
              <w:jc w:val="center"/>
              <w:rPr>
                <w:sz w:val="20"/>
              </w:rPr>
            </w:pPr>
            <w:r>
              <w:rPr>
                <w:sz w:val="20"/>
              </w:rPr>
              <w:t>Uspješnost studiranja</w:t>
            </w:r>
          </w:p>
        </w:tc>
        <w:tc>
          <w:tcPr>
            <w:tcW w:w="1701" w:type="dxa"/>
          </w:tcPr>
          <w:p w14:paraId="7DB50433" w14:textId="77777777" w:rsidR="00CE4907" w:rsidRPr="00D60643" w:rsidRDefault="00CE4907" w:rsidP="00B317C7">
            <w:pPr>
              <w:jc w:val="center"/>
              <w:rPr>
                <w:sz w:val="20"/>
              </w:rPr>
            </w:pPr>
            <w:r>
              <w:rPr>
                <w:sz w:val="20"/>
              </w:rPr>
              <w:t>Broj studenata</w:t>
            </w:r>
          </w:p>
        </w:tc>
        <w:tc>
          <w:tcPr>
            <w:tcW w:w="1134" w:type="dxa"/>
          </w:tcPr>
          <w:p w14:paraId="246F1CC7" w14:textId="241AA6B7" w:rsidR="00CE4907" w:rsidRPr="00D60643" w:rsidRDefault="00EF1EA0" w:rsidP="00B317C7">
            <w:pPr>
              <w:jc w:val="center"/>
              <w:rPr>
                <w:sz w:val="20"/>
              </w:rPr>
            </w:pPr>
            <w:r>
              <w:rPr>
                <w:sz w:val="20"/>
              </w:rPr>
              <w:t>219</w:t>
            </w:r>
          </w:p>
        </w:tc>
        <w:tc>
          <w:tcPr>
            <w:tcW w:w="1134" w:type="dxa"/>
          </w:tcPr>
          <w:p w14:paraId="55AFC8B2" w14:textId="77777777" w:rsidR="00CE4907" w:rsidRDefault="00CE4907" w:rsidP="00B317C7">
            <w:pPr>
              <w:jc w:val="center"/>
              <w:rPr>
                <w:sz w:val="20"/>
              </w:rPr>
            </w:pPr>
            <w:r>
              <w:rPr>
                <w:sz w:val="20"/>
              </w:rPr>
              <w:t>Ured za studente i obrazovne programe</w:t>
            </w:r>
          </w:p>
          <w:p w14:paraId="53B33CAA" w14:textId="77777777" w:rsidR="00CE4907" w:rsidRPr="00D60643" w:rsidRDefault="00CE4907" w:rsidP="00B317C7">
            <w:pPr>
              <w:jc w:val="center"/>
              <w:rPr>
                <w:sz w:val="20"/>
              </w:rPr>
            </w:pPr>
            <w:r>
              <w:rPr>
                <w:sz w:val="20"/>
              </w:rPr>
              <w:t>Sveučilišta i MZO</w:t>
            </w:r>
          </w:p>
        </w:tc>
        <w:tc>
          <w:tcPr>
            <w:tcW w:w="851" w:type="dxa"/>
          </w:tcPr>
          <w:p w14:paraId="1E2B2418" w14:textId="3167358B" w:rsidR="00CE4907" w:rsidRPr="00D60643" w:rsidRDefault="00EF1EA0" w:rsidP="00B317C7">
            <w:pPr>
              <w:jc w:val="center"/>
              <w:rPr>
                <w:sz w:val="20"/>
              </w:rPr>
            </w:pPr>
            <w:r>
              <w:rPr>
                <w:sz w:val="20"/>
              </w:rPr>
              <w:t>220</w:t>
            </w:r>
          </w:p>
        </w:tc>
        <w:tc>
          <w:tcPr>
            <w:tcW w:w="850" w:type="dxa"/>
          </w:tcPr>
          <w:p w14:paraId="78147A7E" w14:textId="77777777" w:rsidR="00CE4907" w:rsidRDefault="00CE4907" w:rsidP="00B317C7">
            <w:pPr>
              <w:jc w:val="center"/>
              <w:rPr>
                <w:sz w:val="20"/>
              </w:rPr>
            </w:pPr>
          </w:p>
          <w:p w14:paraId="44AC2271" w14:textId="2A1E3D8E" w:rsidR="00CE4907" w:rsidRDefault="00EF1EA0" w:rsidP="00B317C7">
            <w:pPr>
              <w:jc w:val="center"/>
              <w:rPr>
                <w:sz w:val="20"/>
              </w:rPr>
            </w:pPr>
            <w:r>
              <w:rPr>
                <w:sz w:val="20"/>
              </w:rPr>
              <w:t>220</w:t>
            </w:r>
          </w:p>
          <w:p w14:paraId="1AB22DD5" w14:textId="77777777" w:rsidR="00CE4907" w:rsidRDefault="00CE4907" w:rsidP="00B317C7">
            <w:pPr>
              <w:jc w:val="center"/>
              <w:rPr>
                <w:sz w:val="20"/>
              </w:rPr>
            </w:pPr>
          </w:p>
          <w:p w14:paraId="4095039E" w14:textId="77777777" w:rsidR="00CE4907" w:rsidRDefault="00CE4907" w:rsidP="00B317C7">
            <w:pPr>
              <w:jc w:val="center"/>
              <w:rPr>
                <w:sz w:val="20"/>
              </w:rPr>
            </w:pPr>
          </w:p>
          <w:p w14:paraId="2FB8A9ED" w14:textId="652C30A6" w:rsidR="00CE4907" w:rsidRPr="00D60643" w:rsidRDefault="00CE4907" w:rsidP="00B317C7">
            <w:pPr>
              <w:jc w:val="center"/>
              <w:rPr>
                <w:sz w:val="20"/>
              </w:rPr>
            </w:pPr>
          </w:p>
        </w:tc>
        <w:tc>
          <w:tcPr>
            <w:tcW w:w="851" w:type="dxa"/>
          </w:tcPr>
          <w:p w14:paraId="5A5BC7A8" w14:textId="77777777" w:rsidR="00CE4907" w:rsidRDefault="00CE4907" w:rsidP="00B317C7">
            <w:pPr>
              <w:jc w:val="center"/>
              <w:rPr>
                <w:sz w:val="20"/>
              </w:rPr>
            </w:pPr>
          </w:p>
          <w:p w14:paraId="0E075AB7" w14:textId="77777777" w:rsidR="00CE4907" w:rsidRDefault="00CE4907" w:rsidP="00B317C7">
            <w:pPr>
              <w:jc w:val="center"/>
              <w:rPr>
                <w:sz w:val="20"/>
              </w:rPr>
            </w:pPr>
          </w:p>
          <w:p w14:paraId="4B2FDA6C" w14:textId="77777777" w:rsidR="00CE4907" w:rsidRDefault="00CE4907" w:rsidP="00B317C7">
            <w:pPr>
              <w:jc w:val="center"/>
              <w:rPr>
                <w:sz w:val="20"/>
              </w:rPr>
            </w:pPr>
          </w:p>
          <w:p w14:paraId="05DB4711" w14:textId="77777777" w:rsidR="00CE4907" w:rsidRDefault="00CE4907" w:rsidP="00B317C7">
            <w:pPr>
              <w:jc w:val="center"/>
              <w:rPr>
                <w:sz w:val="20"/>
              </w:rPr>
            </w:pPr>
          </w:p>
          <w:p w14:paraId="484204E2" w14:textId="5F7065B2" w:rsidR="00CE4907" w:rsidRPr="00D60643" w:rsidRDefault="00EF1EA0" w:rsidP="00B317C7">
            <w:pPr>
              <w:jc w:val="center"/>
              <w:rPr>
                <w:sz w:val="20"/>
              </w:rPr>
            </w:pPr>
            <w:r>
              <w:rPr>
                <w:sz w:val="20"/>
              </w:rPr>
              <w:t>220</w:t>
            </w:r>
          </w:p>
        </w:tc>
      </w:tr>
      <w:tr w:rsidR="00CE4907" w:rsidRPr="009D005B" w14:paraId="2553DFF5" w14:textId="77777777" w:rsidTr="00CE4907">
        <w:tblPrEx>
          <w:tblCellMar>
            <w:left w:w="108" w:type="dxa"/>
            <w:right w:w="108" w:type="dxa"/>
          </w:tblCellMar>
        </w:tblPrEx>
        <w:tc>
          <w:tcPr>
            <w:tcW w:w="1560" w:type="dxa"/>
          </w:tcPr>
          <w:p w14:paraId="53495E0D" w14:textId="77777777" w:rsidR="00CE4907" w:rsidRDefault="00CE4907" w:rsidP="00B317C7">
            <w:pPr>
              <w:jc w:val="center"/>
              <w:rPr>
                <w:color w:val="000000"/>
                <w:sz w:val="21"/>
                <w:szCs w:val="21"/>
              </w:rPr>
            </w:pPr>
            <w:r w:rsidRPr="002E7831">
              <w:rPr>
                <w:color w:val="000000"/>
                <w:sz w:val="21"/>
                <w:szCs w:val="21"/>
              </w:rPr>
              <w:t xml:space="preserve">Broj radova objavljenih u časopisima uvedenim u </w:t>
            </w:r>
          </w:p>
          <w:p w14:paraId="40AA0A3D" w14:textId="77777777" w:rsidR="00CE4907" w:rsidRDefault="00CE4907" w:rsidP="00B317C7">
            <w:pPr>
              <w:jc w:val="center"/>
              <w:rPr>
                <w:color w:val="000000"/>
                <w:sz w:val="21"/>
                <w:szCs w:val="21"/>
              </w:rPr>
            </w:pPr>
            <w:r>
              <w:rPr>
                <w:color w:val="000000"/>
                <w:sz w:val="21"/>
                <w:szCs w:val="21"/>
              </w:rPr>
              <w:t>-</w:t>
            </w:r>
            <w:r w:rsidRPr="002E7831">
              <w:rPr>
                <w:color w:val="000000"/>
                <w:sz w:val="21"/>
                <w:szCs w:val="21"/>
              </w:rPr>
              <w:t xml:space="preserve">bazi Web of Science za STEM područja znanosti, </w:t>
            </w:r>
          </w:p>
          <w:p w14:paraId="5657A71E" w14:textId="77777777" w:rsidR="00CE4907" w:rsidRPr="009D005B" w:rsidRDefault="00CE4907" w:rsidP="00B317C7">
            <w:pPr>
              <w:jc w:val="center"/>
              <w:rPr>
                <w:sz w:val="20"/>
              </w:rPr>
            </w:pPr>
            <w:r>
              <w:rPr>
                <w:color w:val="000000"/>
                <w:sz w:val="21"/>
                <w:szCs w:val="21"/>
              </w:rPr>
              <w:t xml:space="preserve">- </w:t>
            </w:r>
            <w:r w:rsidRPr="002E7831">
              <w:rPr>
                <w:color w:val="000000"/>
                <w:sz w:val="21"/>
                <w:szCs w:val="21"/>
              </w:rPr>
              <w:t>broj radova objavljenih u časopisima uvedenim u bazu Web of Science i bazu SCOPUS za društveno, humanističko i interdisciplinarno područje znanosti i umjetnosti (objavljenih tijekom jedne godine)</w:t>
            </w:r>
          </w:p>
        </w:tc>
        <w:tc>
          <w:tcPr>
            <w:tcW w:w="1701" w:type="dxa"/>
          </w:tcPr>
          <w:p w14:paraId="7BB30562" w14:textId="77777777" w:rsidR="00CE4907" w:rsidRPr="00D60643" w:rsidRDefault="00CE4907" w:rsidP="00B317C7">
            <w:pPr>
              <w:jc w:val="center"/>
              <w:rPr>
                <w:sz w:val="20"/>
              </w:rPr>
            </w:pPr>
            <w:r>
              <w:rPr>
                <w:sz w:val="20"/>
              </w:rPr>
              <w:t>Znanstvena produktivnost</w:t>
            </w:r>
          </w:p>
        </w:tc>
        <w:tc>
          <w:tcPr>
            <w:tcW w:w="1701" w:type="dxa"/>
          </w:tcPr>
          <w:p w14:paraId="1DE2787D" w14:textId="77777777" w:rsidR="00CE4907" w:rsidRPr="00D60643" w:rsidRDefault="00CE4907" w:rsidP="00B317C7">
            <w:pPr>
              <w:jc w:val="center"/>
              <w:rPr>
                <w:sz w:val="20"/>
              </w:rPr>
            </w:pPr>
            <w:r>
              <w:rPr>
                <w:sz w:val="20"/>
              </w:rPr>
              <w:t>Broj radova</w:t>
            </w:r>
          </w:p>
        </w:tc>
        <w:tc>
          <w:tcPr>
            <w:tcW w:w="1134" w:type="dxa"/>
          </w:tcPr>
          <w:p w14:paraId="14351EDE" w14:textId="77777777" w:rsidR="00CE4907" w:rsidRDefault="00CE4907" w:rsidP="00B317C7">
            <w:pPr>
              <w:jc w:val="center"/>
              <w:rPr>
                <w:sz w:val="20"/>
              </w:rPr>
            </w:pPr>
          </w:p>
          <w:p w14:paraId="54EDDAC0" w14:textId="4887D9E9" w:rsidR="00CE4907" w:rsidRDefault="000A021E" w:rsidP="00B317C7">
            <w:pPr>
              <w:jc w:val="center"/>
              <w:rPr>
                <w:sz w:val="20"/>
              </w:rPr>
            </w:pPr>
            <w:r>
              <w:rPr>
                <w:sz w:val="20"/>
              </w:rPr>
              <w:t>50</w:t>
            </w:r>
          </w:p>
          <w:p w14:paraId="43EDE91E" w14:textId="6E0A6A62" w:rsidR="00CE4907" w:rsidRPr="00D60643" w:rsidRDefault="000A021E" w:rsidP="00B317C7">
            <w:pPr>
              <w:jc w:val="center"/>
              <w:rPr>
                <w:sz w:val="20"/>
              </w:rPr>
            </w:pPr>
            <w:r>
              <w:rPr>
                <w:sz w:val="20"/>
              </w:rPr>
              <w:t>65</w:t>
            </w:r>
          </w:p>
        </w:tc>
        <w:tc>
          <w:tcPr>
            <w:tcW w:w="1134" w:type="dxa"/>
          </w:tcPr>
          <w:p w14:paraId="1914F6EC" w14:textId="77777777" w:rsidR="00CE4907" w:rsidRPr="00D60643" w:rsidRDefault="00CE4907" w:rsidP="00B317C7">
            <w:pPr>
              <w:jc w:val="center"/>
              <w:rPr>
                <w:sz w:val="20"/>
              </w:rPr>
            </w:pPr>
            <w:r>
              <w:rPr>
                <w:sz w:val="20"/>
              </w:rPr>
              <w:t>Ured za istraživanje i projekte Sveučilišta i MZO</w:t>
            </w:r>
          </w:p>
        </w:tc>
        <w:tc>
          <w:tcPr>
            <w:tcW w:w="851" w:type="dxa"/>
          </w:tcPr>
          <w:p w14:paraId="5451791A" w14:textId="77777777" w:rsidR="00CE4907" w:rsidRDefault="00CE4907" w:rsidP="00B317C7">
            <w:pPr>
              <w:jc w:val="center"/>
              <w:rPr>
                <w:sz w:val="20"/>
              </w:rPr>
            </w:pPr>
          </w:p>
          <w:p w14:paraId="549FAB38" w14:textId="38F20962" w:rsidR="00CE4907" w:rsidRDefault="000A021E" w:rsidP="00B317C7">
            <w:pPr>
              <w:jc w:val="center"/>
              <w:rPr>
                <w:sz w:val="20"/>
              </w:rPr>
            </w:pPr>
            <w:r>
              <w:rPr>
                <w:sz w:val="20"/>
              </w:rPr>
              <w:t>55</w:t>
            </w:r>
          </w:p>
          <w:p w14:paraId="0C7855D8" w14:textId="77777777" w:rsidR="00CE4907" w:rsidRPr="00D60643" w:rsidRDefault="00CE4907" w:rsidP="00B317C7">
            <w:pPr>
              <w:jc w:val="center"/>
              <w:rPr>
                <w:sz w:val="20"/>
              </w:rPr>
            </w:pPr>
            <w:r>
              <w:rPr>
                <w:sz w:val="20"/>
              </w:rPr>
              <w:t>70</w:t>
            </w:r>
          </w:p>
        </w:tc>
        <w:tc>
          <w:tcPr>
            <w:tcW w:w="850" w:type="dxa"/>
          </w:tcPr>
          <w:p w14:paraId="7F81F26B" w14:textId="77777777" w:rsidR="00CE4907" w:rsidRDefault="00CE4907" w:rsidP="00B317C7">
            <w:pPr>
              <w:jc w:val="center"/>
              <w:rPr>
                <w:sz w:val="20"/>
              </w:rPr>
            </w:pPr>
          </w:p>
          <w:p w14:paraId="373DE07E" w14:textId="77777777" w:rsidR="00CE4907" w:rsidRDefault="00CE4907" w:rsidP="00B317C7">
            <w:pPr>
              <w:jc w:val="center"/>
              <w:rPr>
                <w:sz w:val="20"/>
              </w:rPr>
            </w:pPr>
          </w:p>
          <w:p w14:paraId="5BDA11B8" w14:textId="77777777" w:rsidR="00CE4907" w:rsidRDefault="00CE4907" w:rsidP="00B317C7">
            <w:pPr>
              <w:jc w:val="center"/>
              <w:rPr>
                <w:sz w:val="20"/>
              </w:rPr>
            </w:pPr>
          </w:p>
          <w:p w14:paraId="57E6B8C7" w14:textId="77777777" w:rsidR="00CE4907" w:rsidRDefault="00CE4907" w:rsidP="00B317C7">
            <w:pPr>
              <w:jc w:val="center"/>
              <w:rPr>
                <w:sz w:val="20"/>
              </w:rPr>
            </w:pPr>
          </w:p>
          <w:p w14:paraId="494B8A93" w14:textId="77777777" w:rsidR="00CE4907" w:rsidRDefault="00CE4907" w:rsidP="00B317C7">
            <w:pPr>
              <w:jc w:val="center"/>
              <w:rPr>
                <w:sz w:val="20"/>
              </w:rPr>
            </w:pPr>
          </w:p>
          <w:p w14:paraId="721012E6" w14:textId="77777777" w:rsidR="00CE4907" w:rsidRDefault="00CE4907" w:rsidP="00B317C7">
            <w:pPr>
              <w:jc w:val="center"/>
              <w:rPr>
                <w:sz w:val="20"/>
              </w:rPr>
            </w:pPr>
          </w:p>
          <w:p w14:paraId="6DB1F82A" w14:textId="77777777" w:rsidR="00CE4907" w:rsidRDefault="00CE4907" w:rsidP="00B317C7">
            <w:pPr>
              <w:jc w:val="center"/>
              <w:rPr>
                <w:sz w:val="20"/>
              </w:rPr>
            </w:pPr>
          </w:p>
          <w:p w14:paraId="5F8A51C7" w14:textId="77777777" w:rsidR="00CE4907" w:rsidRDefault="00CE4907" w:rsidP="00B317C7">
            <w:pPr>
              <w:rPr>
                <w:sz w:val="20"/>
              </w:rPr>
            </w:pPr>
            <w:r>
              <w:rPr>
                <w:sz w:val="20"/>
              </w:rPr>
              <w:t xml:space="preserve">     </w:t>
            </w:r>
          </w:p>
          <w:p w14:paraId="58701622" w14:textId="7BA15D6E" w:rsidR="00CE4907" w:rsidRDefault="00CE4907" w:rsidP="00B317C7">
            <w:pPr>
              <w:rPr>
                <w:sz w:val="20"/>
              </w:rPr>
            </w:pPr>
            <w:r>
              <w:rPr>
                <w:sz w:val="20"/>
              </w:rPr>
              <w:t xml:space="preserve">         </w:t>
            </w:r>
            <w:r w:rsidR="000A021E">
              <w:rPr>
                <w:sz w:val="20"/>
              </w:rPr>
              <w:t>60</w:t>
            </w:r>
          </w:p>
          <w:p w14:paraId="5F0E0432" w14:textId="77777777" w:rsidR="00CE4907" w:rsidRPr="00D60643" w:rsidRDefault="00CE4907" w:rsidP="00B317C7">
            <w:pPr>
              <w:rPr>
                <w:sz w:val="20"/>
              </w:rPr>
            </w:pPr>
            <w:r>
              <w:rPr>
                <w:sz w:val="20"/>
              </w:rPr>
              <w:t xml:space="preserve">         75</w:t>
            </w:r>
          </w:p>
        </w:tc>
        <w:tc>
          <w:tcPr>
            <w:tcW w:w="851" w:type="dxa"/>
          </w:tcPr>
          <w:p w14:paraId="37C3D6F2" w14:textId="77777777" w:rsidR="00CE4907" w:rsidRDefault="00CE4907" w:rsidP="00B317C7">
            <w:pPr>
              <w:jc w:val="center"/>
              <w:rPr>
                <w:sz w:val="20"/>
              </w:rPr>
            </w:pPr>
          </w:p>
          <w:p w14:paraId="6F19C127" w14:textId="77777777" w:rsidR="00CE4907" w:rsidRDefault="00CE4907" w:rsidP="00B317C7">
            <w:pPr>
              <w:jc w:val="center"/>
              <w:rPr>
                <w:sz w:val="20"/>
              </w:rPr>
            </w:pPr>
          </w:p>
          <w:p w14:paraId="4A13DAB2" w14:textId="77777777" w:rsidR="00CE4907" w:rsidRDefault="00CE4907" w:rsidP="00B317C7">
            <w:pPr>
              <w:jc w:val="center"/>
              <w:rPr>
                <w:sz w:val="20"/>
              </w:rPr>
            </w:pPr>
          </w:p>
          <w:p w14:paraId="76B9BD4C" w14:textId="77777777" w:rsidR="00CE4907" w:rsidRDefault="00CE4907" w:rsidP="00B317C7">
            <w:pPr>
              <w:jc w:val="center"/>
              <w:rPr>
                <w:sz w:val="20"/>
              </w:rPr>
            </w:pPr>
          </w:p>
          <w:p w14:paraId="4E9FF642" w14:textId="77777777" w:rsidR="00CE4907" w:rsidRDefault="00CE4907" w:rsidP="00B317C7">
            <w:pPr>
              <w:jc w:val="center"/>
              <w:rPr>
                <w:sz w:val="20"/>
              </w:rPr>
            </w:pPr>
          </w:p>
          <w:p w14:paraId="69B7204F" w14:textId="77777777" w:rsidR="00CE4907" w:rsidRDefault="00CE4907" w:rsidP="00B317C7">
            <w:pPr>
              <w:jc w:val="center"/>
              <w:rPr>
                <w:sz w:val="20"/>
              </w:rPr>
            </w:pPr>
          </w:p>
          <w:p w14:paraId="315F6AD7" w14:textId="77777777" w:rsidR="00CE4907" w:rsidRDefault="00CE4907" w:rsidP="00B317C7">
            <w:pPr>
              <w:jc w:val="center"/>
              <w:rPr>
                <w:sz w:val="20"/>
              </w:rPr>
            </w:pPr>
          </w:p>
          <w:p w14:paraId="3492826A" w14:textId="77777777" w:rsidR="00CE4907" w:rsidRDefault="00CE4907" w:rsidP="00B317C7">
            <w:pPr>
              <w:jc w:val="center"/>
              <w:rPr>
                <w:sz w:val="20"/>
              </w:rPr>
            </w:pPr>
          </w:p>
          <w:p w14:paraId="73A1DAD8" w14:textId="210B8FD8" w:rsidR="00CE4907" w:rsidRDefault="000A021E" w:rsidP="00B317C7">
            <w:pPr>
              <w:jc w:val="center"/>
              <w:rPr>
                <w:sz w:val="20"/>
              </w:rPr>
            </w:pPr>
            <w:r>
              <w:rPr>
                <w:sz w:val="20"/>
              </w:rPr>
              <w:t>65</w:t>
            </w:r>
          </w:p>
          <w:p w14:paraId="23559578" w14:textId="77777777" w:rsidR="00CE4907" w:rsidRPr="00D60643" w:rsidRDefault="00CE4907" w:rsidP="00B317C7">
            <w:pPr>
              <w:jc w:val="center"/>
              <w:rPr>
                <w:sz w:val="20"/>
              </w:rPr>
            </w:pPr>
            <w:r>
              <w:rPr>
                <w:sz w:val="20"/>
              </w:rPr>
              <w:t>80</w:t>
            </w:r>
          </w:p>
        </w:tc>
      </w:tr>
      <w:tr w:rsidR="00CE4907" w:rsidRPr="00D60643" w14:paraId="76BD4559" w14:textId="77777777" w:rsidTr="00CE4907">
        <w:tblPrEx>
          <w:tblCellMar>
            <w:left w:w="108" w:type="dxa"/>
            <w:right w:w="108" w:type="dxa"/>
          </w:tblCellMar>
        </w:tblPrEx>
        <w:tc>
          <w:tcPr>
            <w:tcW w:w="1560" w:type="dxa"/>
          </w:tcPr>
          <w:p w14:paraId="31F73D2D" w14:textId="77777777" w:rsidR="00CE4907" w:rsidRPr="009D005B" w:rsidRDefault="00CE4907" w:rsidP="00B317C7">
            <w:pPr>
              <w:jc w:val="center"/>
              <w:rPr>
                <w:sz w:val="20"/>
              </w:rPr>
            </w:pPr>
            <w:r w:rsidRPr="002E7831">
              <w:rPr>
                <w:color w:val="000000"/>
                <w:sz w:val="14"/>
                <w:szCs w:val="14"/>
              </w:rPr>
              <w:t> </w:t>
            </w:r>
            <w:r w:rsidRPr="002E7831">
              <w:rPr>
                <w:color w:val="000000"/>
                <w:sz w:val="21"/>
                <w:szCs w:val="21"/>
              </w:rPr>
              <w:t xml:space="preserve">Omjer broja završenih studenata u akademskoj godini i broja </w:t>
            </w:r>
            <w:r w:rsidRPr="002E7831">
              <w:rPr>
                <w:color w:val="000000"/>
                <w:sz w:val="21"/>
                <w:szCs w:val="21"/>
              </w:rPr>
              <w:lastRenderedPageBreak/>
              <w:t>studenata upisanih u prvu godinu te akademske godine</w:t>
            </w:r>
          </w:p>
        </w:tc>
        <w:tc>
          <w:tcPr>
            <w:tcW w:w="1701" w:type="dxa"/>
          </w:tcPr>
          <w:p w14:paraId="74F2B56C" w14:textId="77777777" w:rsidR="00CE4907" w:rsidRPr="00D60643" w:rsidRDefault="00CE4907" w:rsidP="00B317C7">
            <w:pPr>
              <w:jc w:val="center"/>
              <w:rPr>
                <w:sz w:val="20"/>
              </w:rPr>
            </w:pPr>
            <w:r>
              <w:rPr>
                <w:sz w:val="20"/>
              </w:rPr>
              <w:lastRenderedPageBreak/>
              <w:t>Završnost studija</w:t>
            </w:r>
          </w:p>
        </w:tc>
        <w:tc>
          <w:tcPr>
            <w:tcW w:w="1701" w:type="dxa"/>
          </w:tcPr>
          <w:p w14:paraId="1E26D46A" w14:textId="77777777" w:rsidR="00CE4907" w:rsidRPr="00D60643" w:rsidRDefault="00CE4907" w:rsidP="00B317C7">
            <w:pPr>
              <w:jc w:val="center"/>
              <w:rPr>
                <w:sz w:val="20"/>
              </w:rPr>
            </w:pPr>
            <w:r>
              <w:rPr>
                <w:sz w:val="20"/>
              </w:rPr>
              <w:t>Omjer</w:t>
            </w:r>
          </w:p>
        </w:tc>
        <w:tc>
          <w:tcPr>
            <w:tcW w:w="1134" w:type="dxa"/>
          </w:tcPr>
          <w:p w14:paraId="52AFBACD" w14:textId="5C2FE3D6" w:rsidR="00CE4907" w:rsidRPr="00D60643" w:rsidRDefault="00146E4F" w:rsidP="00B317C7">
            <w:pPr>
              <w:jc w:val="center"/>
              <w:rPr>
                <w:sz w:val="20"/>
              </w:rPr>
            </w:pPr>
            <w:r>
              <w:rPr>
                <w:sz w:val="20"/>
              </w:rPr>
              <w:t>0,65</w:t>
            </w:r>
          </w:p>
        </w:tc>
        <w:tc>
          <w:tcPr>
            <w:tcW w:w="1134" w:type="dxa"/>
          </w:tcPr>
          <w:p w14:paraId="3A9E3193" w14:textId="77777777" w:rsidR="00CE4907" w:rsidRPr="00D60643" w:rsidRDefault="00CE4907" w:rsidP="00B317C7">
            <w:pPr>
              <w:jc w:val="center"/>
              <w:rPr>
                <w:sz w:val="20"/>
              </w:rPr>
            </w:pPr>
            <w:r>
              <w:rPr>
                <w:sz w:val="20"/>
              </w:rPr>
              <w:t xml:space="preserve">Ured za studente i obrazovne programe Sveučilišta </w:t>
            </w:r>
            <w:r>
              <w:rPr>
                <w:sz w:val="20"/>
              </w:rPr>
              <w:lastRenderedPageBreak/>
              <w:t>i MZO</w:t>
            </w:r>
          </w:p>
        </w:tc>
        <w:tc>
          <w:tcPr>
            <w:tcW w:w="851" w:type="dxa"/>
          </w:tcPr>
          <w:p w14:paraId="61E0ABD8" w14:textId="2D5F5231" w:rsidR="00CE4907" w:rsidRPr="00D60643" w:rsidRDefault="00CE4907" w:rsidP="00B317C7">
            <w:pPr>
              <w:rPr>
                <w:sz w:val="20"/>
              </w:rPr>
            </w:pPr>
            <w:r>
              <w:rPr>
                <w:sz w:val="20"/>
              </w:rPr>
              <w:lastRenderedPageBreak/>
              <w:t xml:space="preserve">  </w:t>
            </w:r>
            <w:r w:rsidR="00146E4F">
              <w:rPr>
                <w:sz w:val="20"/>
              </w:rPr>
              <w:t>0,65</w:t>
            </w:r>
            <w:r>
              <w:rPr>
                <w:sz w:val="20"/>
              </w:rPr>
              <w:t xml:space="preserve">     </w:t>
            </w:r>
          </w:p>
        </w:tc>
        <w:tc>
          <w:tcPr>
            <w:tcW w:w="850" w:type="dxa"/>
          </w:tcPr>
          <w:p w14:paraId="032D5656" w14:textId="77777777" w:rsidR="00CE4907" w:rsidRDefault="00CE4907" w:rsidP="00B317C7">
            <w:pPr>
              <w:jc w:val="center"/>
              <w:rPr>
                <w:sz w:val="20"/>
              </w:rPr>
            </w:pPr>
          </w:p>
          <w:p w14:paraId="7D55E50D" w14:textId="3B78BCCA" w:rsidR="00CE4907" w:rsidRDefault="00146E4F" w:rsidP="00B317C7">
            <w:pPr>
              <w:jc w:val="center"/>
              <w:rPr>
                <w:sz w:val="20"/>
              </w:rPr>
            </w:pPr>
            <w:r>
              <w:rPr>
                <w:sz w:val="20"/>
              </w:rPr>
              <w:t>0,65</w:t>
            </w:r>
          </w:p>
          <w:p w14:paraId="63410C53" w14:textId="77777777" w:rsidR="00CE4907" w:rsidRDefault="00CE4907" w:rsidP="00B317C7">
            <w:pPr>
              <w:jc w:val="center"/>
              <w:rPr>
                <w:sz w:val="20"/>
              </w:rPr>
            </w:pPr>
          </w:p>
          <w:p w14:paraId="5182AC96" w14:textId="77777777" w:rsidR="00CE4907" w:rsidRDefault="00CE4907" w:rsidP="00B317C7">
            <w:pPr>
              <w:jc w:val="center"/>
              <w:rPr>
                <w:sz w:val="20"/>
              </w:rPr>
            </w:pPr>
          </w:p>
          <w:p w14:paraId="1D23C791" w14:textId="77777777" w:rsidR="00CE4907" w:rsidRDefault="00CE4907" w:rsidP="00B317C7">
            <w:pPr>
              <w:jc w:val="center"/>
              <w:rPr>
                <w:sz w:val="20"/>
              </w:rPr>
            </w:pPr>
          </w:p>
          <w:p w14:paraId="00ABCDB0" w14:textId="77777777" w:rsidR="00CE4907" w:rsidRDefault="00CE4907" w:rsidP="00B317C7">
            <w:pPr>
              <w:jc w:val="center"/>
              <w:rPr>
                <w:sz w:val="20"/>
              </w:rPr>
            </w:pPr>
          </w:p>
          <w:p w14:paraId="59FE7B67" w14:textId="048A7346" w:rsidR="00CE4907" w:rsidRPr="00D60643" w:rsidRDefault="00CE4907" w:rsidP="00B317C7">
            <w:pPr>
              <w:rPr>
                <w:sz w:val="20"/>
              </w:rPr>
            </w:pPr>
            <w:r>
              <w:rPr>
                <w:sz w:val="20"/>
              </w:rPr>
              <w:t xml:space="preserve">       </w:t>
            </w:r>
          </w:p>
        </w:tc>
        <w:tc>
          <w:tcPr>
            <w:tcW w:w="851" w:type="dxa"/>
          </w:tcPr>
          <w:p w14:paraId="12D10D8A" w14:textId="77777777" w:rsidR="00CE4907" w:rsidRDefault="00CE4907" w:rsidP="00B317C7">
            <w:pPr>
              <w:jc w:val="center"/>
              <w:rPr>
                <w:sz w:val="20"/>
              </w:rPr>
            </w:pPr>
          </w:p>
          <w:p w14:paraId="79013461" w14:textId="77777777" w:rsidR="00CE4907" w:rsidRDefault="00CE4907" w:rsidP="00B317C7">
            <w:pPr>
              <w:jc w:val="center"/>
              <w:rPr>
                <w:sz w:val="20"/>
              </w:rPr>
            </w:pPr>
          </w:p>
          <w:p w14:paraId="3E4377DB" w14:textId="242AE4C5" w:rsidR="00CE4907" w:rsidRDefault="00146E4F" w:rsidP="00B317C7">
            <w:pPr>
              <w:jc w:val="center"/>
              <w:rPr>
                <w:sz w:val="20"/>
              </w:rPr>
            </w:pPr>
            <w:r>
              <w:rPr>
                <w:sz w:val="20"/>
              </w:rPr>
              <w:t>0,65</w:t>
            </w:r>
          </w:p>
          <w:p w14:paraId="3D59E7E6" w14:textId="77777777" w:rsidR="00CE4907" w:rsidRDefault="00CE4907" w:rsidP="00B317C7">
            <w:pPr>
              <w:jc w:val="center"/>
              <w:rPr>
                <w:sz w:val="20"/>
              </w:rPr>
            </w:pPr>
          </w:p>
          <w:p w14:paraId="3D222624" w14:textId="77777777" w:rsidR="00CE4907" w:rsidRDefault="00CE4907" w:rsidP="00B317C7">
            <w:pPr>
              <w:jc w:val="center"/>
              <w:rPr>
                <w:sz w:val="20"/>
              </w:rPr>
            </w:pPr>
          </w:p>
          <w:p w14:paraId="621E06C5" w14:textId="77777777" w:rsidR="00CE4907" w:rsidRDefault="00CE4907" w:rsidP="00B317C7">
            <w:pPr>
              <w:jc w:val="center"/>
              <w:rPr>
                <w:sz w:val="20"/>
              </w:rPr>
            </w:pPr>
          </w:p>
          <w:p w14:paraId="34F6AFA6" w14:textId="4603B7B4" w:rsidR="00CE4907" w:rsidRPr="00D60643" w:rsidRDefault="00CE4907" w:rsidP="00B317C7">
            <w:pPr>
              <w:jc w:val="center"/>
              <w:rPr>
                <w:sz w:val="20"/>
              </w:rPr>
            </w:pPr>
          </w:p>
        </w:tc>
      </w:tr>
    </w:tbl>
    <w:p w14:paraId="24E48831" w14:textId="7CF74E54" w:rsidR="00CE4907" w:rsidRDefault="00CE4907" w:rsidP="00C51C46">
      <w:pPr>
        <w:jc w:val="both"/>
      </w:pPr>
    </w:p>
    <w:p w14:paraId="3684D8F0" w14:textId="218342BC" w:rsidR="00CF4DD2" w:rsidRDefault="00CF4DD2" w:rsidP="00C51C46">
      <w:pPr>
        <w:jc w:val="both"/>
      </w:pPr>
    </w:p>
    <w:p w14:paraId="43A3EE14" w14:textId="02F14F8F" w:rsidR="00CF4DD2" w:rsidRDefault="00CF4DD2" w:rsidP="00C51C46">
      <w:pPr>
        <w:jc w:val="both"/>
      </w:pPr>
    </w:p>
    <w:p w14:paraId="7E85CFB3" w14:textId="77777777" w:rsidR="00CF4DD2" w:rsidRDefault="00CF4DD2" w:rsidP="00C51C46">
      <w:pPr>
        <w:jc w:val="both"/>
      </w:pPr>
    </w:p>
    <w:p w14:paraId="32853B57" w14:textId="27E0837F" w:rsidR="00CE4907" w:rsidRPr="009D005B" w:rsidRDefault="00CE4907" w:rsidP="00C51C46">
      <w:pPr>
        <w:jc w:val="both"/>
      </w:pPr>
    </w:p>
    <w:p w14:paraId="72CA415E" w14:textId="77777777" w:rsidR="00C51C46" w:rsidRPr="009D005B" w:rsidRDefault="00C51C46" w:rsidP="00C51C46">
      <w:pPr>
        <w:jc w:val="both"/>
      </w:pPr>
    </w:p>
    <w:p w14:paraId="76D67E44" w14:textId="1C1F8E86" w:rsidR="00FD41A7" w:rsidRPr="009D005B" w:rsidRDefault="00FD41A7" w:rsidP="00C51C46">
      <w:pPr>
        <w:jc w:val="both"/>
        <w:rPr>
          <w:i/>
        </w:rPr>
      </w:pPr>
    </w:p>
    <w:p w14:paraId="6878929D" w14:textId="43D920F5" w:rsidR="00C51C46" w:rsidRPr="00CB21EC" w:rsidRDefault="00C51C46" w:rsidP="00CB21EC">
      <w:pPr>
        <w:pBdr>
          <w:top w:val="dotted" w:sz="4" w:space="1" w:color="808080" w:themeColor="background1" w:themeShade="80"/>
          <w:bottom w:val="dotted" w:sz="4" w:space="1" w:color="808080" w:themeColor="background1" w:themeShade="80"/>
        </w:pBdr>
        <w:shd w:val="clear" w:color="auto" w:fill="D0CECE" w:themeFill="background2" w:themeFillShade="E6"/>
        <w:spacing w:after="160" w:line="259" w:lineRule="auto"/>
        <w:jc w:val="both"/>
        <w:rPr>
          <w:rFonts w:asciiTheme="minorHAnsi" w:eastAsiaTheme="minorHAnsi" w:hAnsiTheme="minorHAnsi" w:cstheme="minorBidi"/>
          <w:b/>
          <w:sz w:val="28"/>
          <w:szCs w:val="22"/>
          <w:lang w:eastAsia="en-US"/>
        </w:rPr>
      </w:pPr>
      <w:r w:rsidRPr="00CB21EC">
        <w:rPr>
          <w:rFonts w:asciiTheme="minorHAnsi" w:eastAsiaTheme="minorHAnsi" w:hAnsiTheme="minorHAnsi" w:cstheme="minorBidi"/>
          <w:b/>
          <w:sz w:val="28"/>
          <w:szCs w:val="22"/>
          <w:lang w:eastAsia="en-US"/>
        </w:rPr>
        <w:t>A67909</w:t>
      </w:r>
      <w:r w:rsidR="00797D12">
        <w:rPr>
          <w:rFonts w:asciiTheme="minorHAnsi" w:eastAsiaTheme="minorHAnsi" w:hAnsiTheme="minorHAnsi" w:cstheme="minorBidi"/>
          <w:b/>
          <w:sz w:val="28"/>
          <w:szCs w:val="22"/>
          <w:lang w:eastAsia="en-US"/>
        </w:rPr>
        <w:t>3</w:t>
      </w:r>
      <w:r w:rsidRPr="00CB21EC">
        <w:rPr>
          <w:rFonts w:asciiTheme="minorHAnsi" w:eastAsiaTheme="minorHAnsi" w:hAnsiTheme="minorHAnsi" w:cstheme="minorBidi"/>
          <w:b/>
          <w:sz w:val="28"/>
          <w:szCs w:val="22"/>
          <w:lang w:eastAsia="en-US"/>
        </w:rPr>
        <w:t xml:space="preserve"> Redovna djelatnost Sveučilišta u </w:t>
      </w:r>
      <w:r w:rsidR="00E96FE6">
        <w:rPr>
          <w:rFonts w:asciiTheme="minorHAnsi" w:eastAsiaTheme="minorHAnsi" w:hAnsiTheme="minorHAnsi" w:cstheme="minorBidi"/>
          <w:b/>
          <w:sz w:val="28"/>
          <w:szCs w:val="22"/>
          <w:lang w:eastAsia="en-US"/>
        </w:rPr>
        <w:t>Dubrovniku</w:t>
      </w:r>
      <w:r w:rsidRPr="00CB21EC">
        <w:rPr>
          <w:rFonts w:asciiTheme="minorHAnsi" w:eastAsiaTheme="minorHAnsi" w:hAnsiTheme="minorHAnsi" w:cstheme="minorBidi"/>
          <w:b/>
          <w:sz w:val="28"/>
          <w:szCs w:val="22"/>
          <w:lang w:eastAsia="en-US"/>
        </w:rPr>
        <w:t>(iz evidencijskih prihoda)</w:t>
      </w:r>
    </w:p>
    <w:p w14:paraId="59196284" w14:textId="471C43D7" w:rsidR="00C51C46" w:rsidRPr="003B64C1" w:rsidRDefault="00C51C46" w:rsidP="00C51C46">
      <w:pPr>
        <w:jc w:val="both"/>
      </w:pPr>
      <w:r w:rsidRPr="003B64C1">
        <w:t>Zakonske i druge pravne osnove</w:t>
      </w:r>
    </w:p>
    <w:p w14:paraId="3DE547A2" w14:textId="77777777" w:rsidR="00C51C46" w:rsidRDefault="00C51C46" w:rsidP="00C51C46">
      <w:pPr>
        <w:jc w:val="both"/>
        <w:rPr>
          <w:i/>
        </w:rPr>
      </w:pPr>
    </w:p>
    <w:p w14:paraId="1FF9D7FD" w14:textId="55272A5F" w:rsidR="00C51C46" w:rsidRPr="000F0FD3" w:rsidRDefault="00C51C46" w:rsidP="000F0FD3">
      <w:pPr>
        <w:pStyle w:val="NormalWeb"/>
        <w:numPr>
          <w:ilvl w:val="0"/>
          <w:numId w:val="18"/>
        </w:numPr>
        <w:spacing w:before="0" w:beforeAutospacing="0" w:after="0" w:afterAutospacing="0" w:line="276" w:lineRule="auto"/>
        <w:jc w:val="both"/>
        <w:rPr>
          <w:rFonts w:ascii="Times New Roman" w:hAnsi="Times New Roman"/>
          <w:sz w:val="24"/>
          <w:szCs w:val="24"/>
        </w:rPr>
      </w:pPr>
      <w:proofErr w:type="spellStart"/>
      <w:r w:rsidRPr="000F0FD3">
        <w:rPr>
          <w:rFonts w:ascii="Times New Roman" w:hAnsi="Times New Roman"/>
          <w:sz w:val="24"/>
          <w:szCs w:val="24"/>
        </w:rPr>
        <w:t>Zakon</w:t>
      </w:r>
      <w:proofErr w:type="spellEnd"/>
      <w:r w:rsidRPr="000F0FD3">
        <w:rPr>
          <w:rFonts w:ascii="Times New Roman" w:hAnsi="Times New Roman"/>
          <w:sz w:val="24"/>
          <w:szCs w:val="24"/>
        </w:rPr>
        <w:t xml:space="preserve"> o </w:t>
      </w:r>
      <w:proofErr w:type="spellStart"/>
      <w:r w:rsidRPr="000F0FD3">
        <w:rPr>
          <w:rFonts w:ascii="Times New Roman" w:hAnsi="Times New Roman"/>
          <w:sz w:val="24"/>
          <w:szCs w:val="24"/>
        </w:rPr>
        <w:t>znanstvenoj</w:t>
      </w:r>
      <w:proofErr w:type="spellEnd"/>
      <w:r w:rsidRPr="000F0FD3">
        <w:rPr>
          <w:rFonts w:ascii="Times New Roman" w:hAnsi="Times New Roman"/>
          <w:sz w:val="24"/>
          <w:szCs w:val="24"/>
        </w:rPr>
        <w:t xml:space="preserve"> </w:t>
      </w:r>
      <w:proofErr w:type="spellStart"/>
      <w:r w:rsidRPr="000F0FD3">
        <w:rPr>
          <w:rFonts w:ascii="Times New Roman" w:hAnsi="Times New Roman"/>
          <w:sz w:val="24"/>
          <w:szCs w:val="24"/>
        </w:rPr>
        <w:t>djelatnosti</w:t>
      </w:r>
      <w:proofErr w:type="spellEnd"/>
      <w:r w:rsidRPr="000F0FD3">
        <w:rPr>
          <w:rFonts w:ascii="Times New Roman" w:hAnsi="Times New Roman"/>
          <w:sz w:val="24"/>
          <w:szCs w:val="24"/>
        </w:rPr>
        <w:t xml:space="preserve"> </w:t>
      </w:r>
      <w:proofErr w:type="spellStart"/>
      <w:r w:rsidRPr="000F0FD3">
        <w:rPr>
          <w:rFonts w:ascii="Times New Roman" w:hAnsi="Times New Roman"/>
          <w:sz w:val="24"/>
          <w:szCs w:val="24"/>
        </w:rPr>
        <w:t>i</w:t>
      </w:r>
      <w:proofErr w:type="spellEnd"/>
      <w:r w:rsidRPr="000F0FD3">
        <w:rPr>
          <w:rFonts w:ascii="Times New Roman" w:hAnsi="Times New Roman"/>
          <w:sz w:val="24"/>
          <w:szCs w:val="24"/>
        </w:rPr>
        <w:t xml:space="preserve"> </w:t>
      </w:r>
      <w:proofErr w:type="spellStart"/>
      <w:r w:rsidRPr="000F0FD3">
        <w:rPr>
          <w:rFonts w:ascii="Times New Roman" w:hAnsi="Times New Roman"/>
          <w:sz w:val="24"/>
          <w:szCs w:val="24"/>
        </w:rPr>
        <w:t>visokom</w:t>
      </w:r>
      <w:proofErr w:type="spellEnd"/>
      <w:r w:rsidRPr="000F0FD3">
        <w:rPr>
          <w:rFonts w:ascii="Times New Roman" w:hAnsi="Times New Roman"/>
          <w:sz w:val="24"/>
          <w:szCs w:val="24"/>
        </w:rPr>
        <w:t xml:space="preserve"> </w:t>
      </w:r>
      <w:proofErr w:type="spellStart"/>
      <w:r w:rsidRPr="000F0FD3">
        <w:rPr>
          <w:rFonts w:ascii="Times New Roman" w:hAnsi="Times New Roman"/>
          <w:sz w:val="24"/>
          <w:szCs w:val="24"/>
        </w:rPr>
        <w:t>obrazovanju</w:t>
      </w:r>
      <w:proofErr w:type="spellEnd"/>
      <w:r w:rsidRPr="000F0FD3">
        <w:rPr>
          <w:rFonts w:ascii="Times New Roman" w:hAnsi="Times New Roman"/>
          <w:sz w:val="24"/>
          <w:szCs w:val="24"/>
        </w:rPr>
        <w:t xml:space="preserve"> </w:t>
      </w:r>
    </w:p>
    <w:p w14:paraId="4EDFB8FC" w14:textId="41D325FE" w:rsidR="00C51C46" w:rsidRPr="000F0FD3" w:rsidRDefault="00C51C46" w:rsidP="000F0FD3">
      <w:pPr>
        <w:pStyle w:val="NormalWeb"/>
        <w:numPr>
          <w:ilvl w:val="0"/>
          <w:numId w:val="18"/>
        </w:numPr>
        <w:spacing w:before="0" w:beforeAutospacing="0" w:after="0" w:afterAutospacing="0" w:line="276" w:lineRule="auto"/>
        <w:jc w:val="both"/>
        <w:rPr>
          <w:rFonts w:ascii="Times New Roman" w:hAnsi="Times New Roman"/>
          <w:sz w:val="24"/>
          <w:szCs w:val="24"/>
        </w:rPr>
      </w:pPr>
      <w:proofErr w:type="spellStart"/>
      <w:r w:rsidRPr="000F0FD3">
        <w:rPr>
          <w:rFonts w:ascii="Times New Roman" w:hAnsi="Times New Roman"/>
          <w:sz w:val="24"/>
          <w:szCs w:val="24"/>
        </w:rPr>
        <w:t>Kolektivni</w:t>
      </w:r>
      <w:proofErr w:type="spellEnd"/>
      <w:r w:rsidRPr="000F0FD3">
        <w:rPr>
          <w:rFonts w:ascii="Times New Roman" w:hAnsi="Times New Roman"/>
          <w:sz w:val="24"/>
          <w:szCs w:val="24"/>
        </w:rPr>
        <w:t xml:space="preserve"> </w:t>
      </w:r>
      <w:proofErr w:type="spellStart"/>
      <w:r w:rsidRPr="000F0FD3">
        <w:rPr>
          <w:rFonts w:ascii="Times New Roman" w:hAnsi="Times New Roman"/>
          <w:sz w:val="24"/>
          <w:szCs w:val="24"/>
        </w:rPr>
        <w:t>ugovor</w:t>
      </w:r>
      <w:proofErr w:type="spellEnd"/>
      <w:r w:rsidRPr="000F0FD3">
        <w:rPr>
          <w:rFonts w:ascii="Times New Roman" w:hAnsi="Times New Roman"/>
          <w:sz w:val="24"/>
          <w:szCs w:val="24"/>
        </w:rPr>
        <w:t xml:space="preserve"> </w:t>
      </w:r>
      <w:proofErr w:type="spellStart"/>
      <w:r w:rsidRPr="000F0FD3">
        <w:rPr>
          <w:rFonts w:ascii="Times New Roman" w:hAnsi="Times New Roman"/>
          <w:sz w:val="24"/>
          <w:szCs w:val="24"/>
        </w:rPr>
        <w:t>za</w:t>
      </w:r>
      <w:proofErr w:type="spellEnd"/>
      <w:r w:rsidRPr="000F0FD3">
        <w:rPr>
          <w:rFonts w:ascii="Times New Roman" w:hAnsi="Times New Roman"/>
          <w:sz w:val="24"/>
          <w:szCs w:val="24"/>
        </w:rPr>
        <w:t xml:space="preserve"> </w:t>
      </w:r>
      <w:proofErr w:type="spellStart"/>
      <w:r w:rsidRPr="000F0FD3">
        <w:rPr>
          <w:rFonts w:ascii="Times New Roman" w:hAnsi="Times New Roman"/>
          <w:sz w:val="24"/>
          <w:szCs w:val="24"/>
        </w:rPr>
        <w:t>znanost</w:t>
      </w:r>
      <w:proofErr w:type="spellEnd"/>
      <w:r w:rsidRPr="000F0FD3">
        <w:rPr>
          <w:rFonts w:ascii="Times New Roman" w:hAnsi="Times New Roman"/>
          <w:sz w:val="24"/>
          <w:szCs w:val="24"/>
        </w:rPr>
        <w:t xml:space="preserve"> </w:t>
      </w:r>
      <w:proofErr w:type="spellStart"/>
      <w:r w:rsidRPr="000F0FD3">
        <w:rPr>
          <w:rFonts w:ascii="Times New Roman" w:hAnsi="Times New Roman"/>
          <w:sz w:val="24"/>
          <w:szCs w:val="24"/>
        </w:rPr>
        <w:t>i</w:t>
      </w:r>
      <w:proofErr w:type="spellEnd"/>
      <w:r w:rsidRPr="000F0FD3">
        <w:rPr>
          <w:rFonts w:ascii="Times New Roman" w:hAnsi="Times New Roman"/>
          <w:sz w:val="24"/>
          <w:szCs w:val="24"/>
        </w:rPr>
        <w:t xml:space="preserve"> </w:t>
      </w:r>
      <w:proofErr w:type="spellStart"/>
      <w:r w:rsidRPr="000F0FD3">
        <w:rPr>
          <w:rFonts w:ascii="Times New Roman" w:hAnsi="Times New Roman"/>
          <w:sz w:val="24"/>
          <w:szCs w:val="24"/>
        </w:rPr>
        <w:t>visoko</w:t>
      </w:r>
      <w:proofErr w:type="spellEnd"/>
      <w:r w:rsidRPr="000F0FD3">
        <w:rPr>
          <w:rFonts w:ascii="Times New Roman" w:hAnsi="Times New Roman"/>
          <w:sz w:val="24"/>
          <w:szCs w:val="24"/>
        </w:rPr>
        <w:t xml:space="preserve"> </w:t>
      </w:r>
      <w:proofErr w:type="spellStart"/>
      <w:r w:rsidRPr="000F0FD3">
        <w:rPr>
          <w:rFonts w:ascii="Times New Roman" w:hAnsi="Times New Roman"/>
          <w:sz w:val="24"/>
          <w:szCs w:val="24"/>
        </w:rPr>
        <w:t>obrazovan</w:t>
      </w:r>
      <w:r w:rsidR="000F0FD3">
        <w:rPr>
          <w:rFonts w:ascii="Times New Roman" w:hAnsi="Times New Roman"/>
          <w:sz w:val="24"/>
          <w:szCs w:val="24"/>
        </w:rPr>
        <w:t>je</w:t>
      </w:r>
      <w:proofErr w:type="spellEnd"/>
      <w:r w:rsidR="000F0FD3">
        <w:rPr>
          <w:rFonts w:ascii="Times New Roman" w:hAnsi="Times New Roman"/>
          <w:sz w:val="24"/>
          <w:szCs w:val="24"/>
        </w:rPr>
        <w:t xml:space="preserve"> </w:t>
      </w:r>
    </w:p>
    <w:p w14:paraId="77C87E99" w14:textId="5A69D612" w:rsidR="00C51C46" w:rsidRPr="000F0FD3" w:rsidRDefault="00C51C46" w:rsidP="000F0FD3">
      <w:pPr>
        <w:pStyle w:val="NormalWeb"/>
        <w:numPr>
          <w:ilvl w:val="0"/>
          <w:numId w:val="18"/>
        </w:numPr>
        <w:spacing w:before="0" w:beforeAutospacing="0" w:after="0" w:afterAutospacing="0" w:line="276" w:lineRule="auto"/>
        <w:jc w:val="both"/>
        <w:rPr>
          <w:rFonts w:ascii="Times New Roman" w:hAnsi="Times New Roman"/>
          <w:sz w:val="24"/>
          <w:szCs w:val="24"/>
        </w:rPr>
      </w:pPr>
      <w:proofErr w:type="spellStart"/>
      <w:r w:rsidRPr="000F0FD3">
        <w:rPr>
          <w:rFonts w:ascii="Times New Roman" w:hAnsi="Times New Roman"/>
          <w:sz w:val="24"/>
          <w:szCs w:val="24"/>
        </w:rPr>
        <w:t>Zakon</w:t>
      </w:r>
      <w:proofErr w:type="spellEnd"/>
      <w:r w:rsidRPr="000F0FD3">
        <w:rPr>
          <w:rFonts w:ascii="Times New Roman" w:hAnsi="Times New Roman"/>
          <w:sz w:val="24"/>
          <w:szCs w:val="24"/>
        </w:rPr>
        <w:t xml:space="preserve"> o </w:t>
      </w:r>
      <w:proofErr w:type="spellStart"/>
      <w:r w:rsidRPr="000F0FD3">
        <w:rPr>
          <w:rFonts w:ascii="Times New Roman" w:hAnsi="Times New Roman"/>
          <w:sz w:val="24"/>
          <w:szCs w:val="24"/>
        </w:rPr>
        <w:t>studentskom</w:t>
      </w:r>
      <w:proofErr w:type="spellEnd"/>
      <w:r w:rsidRPr="000F0FD3">
        <w:rPr>
          <w:rFonts w:ascii="Times New Roman" w:hAnsi="Times New Roman"/>
          <w:sz w:val="24"/>
          <w:szCs w:val="24"/>
        </w:rPr>
        <w:t xml:space="preserve"> </w:t>
      </w:r>
      <w:proofErr w:type="spellStart"/>
      <w:r w:rsidRPr="000F0FD3">
        <w:rPr>
          <w:rFonts w:ascii="Times New Roman" w:hAnsi="Times New Roman"/>
          <w:sz w:val="24"/>
          <w:szCs w:val="24"/>
        </w:rPr>
        <w:t>zboru</w:t>
      </w:r>
      <w:proofErr w:type="spellEnd"/>
      <w:r w:rsidRPr="000F0FD3">
        <w:rPr>
          <w:rFonts w:ascii="Times New Roman" w:hAnsi="Times New Roman"/>
          <w:sz w:val="24"/>
          <w:szCs w:val="24"/>
        </w:rPr>
        <w:t xml:space="preserve"> </w:t>
      </w:r>
      <w:proofErr w:type="spellStart"/>
      <w:r w:rsidRPr="000F0FD3">
        <w:rPr>
          <w:rFonts w:ascii="Times New Roman" w:hAnsi="Times New Roman"/>
          <w:sz w:val="24"/>
          <w:szCs w:val="24"/>
        </w:rPr>
        <w:t>i</w:t>
      </w:r>
      <w:proofErr w:type="spellEnd"/>
      <w:r w:rsidRPr="000F0FD3">
        <w:rPr>
          <w:rFonts w:ascii="Times New Roman" w:hAnsi="Times New Roman"/>
          <w:sz w:val="24"/>
          <w:szCs w:val="24"/>
        </w:rPr>
        <w:t xml:space="preserve"> </w:t>
      </w:r>
      <w:proofErr w:type="spellStart"/>
      <w:r w:rsidRPr="000F0FD3">
        <w:rPr>
          <w:rFonts w:ascii="Times New Roman" w:hAnsi="Times New Roman"/>
          <w:sz w:val="24"/>
          <w:szCs w:val="24"/>
        </w:rPr>
        <w:t>dru</w:t>
      </w:r>
      <w:r w:rsidR="000F0FD3">
        <w:rPr>
          <w:rFonts w:ascii="Times New Roman" w:hAnsi="Times New Roman"/>
          <w:sz w:val="24"/>
          <w:szCs w:val="24"/>
        </w:rPr>
        <w:t>gim</w:t>
      </w:r>
      <w:proofErr w:type="spellEnd"/>
      <w:r w:rsidR="000F0FD3">
        <w:rPr>
          <w:rFonts w:ascii="Times New Roman" w:hAnsi="Times New Roman"/>
          <w:sz w:val="24"/>
          <w:szCs w:val="24"/>
        </w:rPr>
        <w:t xml:space="preserve"> </w:t>
      </w:r>
      <w:proofErr w:type="spellStart"/>
      <w:r w:rsidR="000F0FD3">
        <w:rPr>
          <w:rFonts w:ascii="Times New Roman" w:hAnsi="Times New Roman"/>
          <w:sz w:val="24"/>
          <w:szCs w:val="24"/>
        </w:rPr>
        <w:t>studentskim</w:t>
      </w:r>
      <w:proofErr w:type="spellEnd"/>
      <w:r w:rsidR="000F0FD3">
        <w:rPr>
          <w:rFonts w:ascii="Times New Roman" w:hAnsi="Times New Roman"/>
          <w:sz w:val="24"/>
          <w:szCs w:val="24"/>
        </w:rPr>
        <w:t xml:space="preserve"> </w:t>
      </w:r>
      <w:proofErr w:type="spellStart"/>
      <w:r w:rsidR="000F0FD3">
        <w:rPr>
          <w:rFonts w:ascii="Times New Roman" w:hAnsi="Times New Roman"/>
          <w:sz w:val="24"/>
          <w:szCs w:val="24"/>
        </w:rPr>
        <w:t>organizacijama</w:t>
      </w:r>
      <w:proofErr w:type="spellEnd"/>
      <w:r w:rsidR="000F0FD3">
        <w:rPr>
          <w:rFonts w:ascii="Times New Roman" w:hAnsi="Times New Roman"/>
          <w:sz w:val="24"/>
          <w:szCs w:val="24"/>
        </w:rPr>
        <w:t xml:space="preserve"> </w:t>
      </w:r>
    </w:p>
    <w:p w14:paraId="61ADB8BA" w14:textId="7EEE4DC3" w:rsidR="00C51C46" w:rsidRPr="000F0FD3" w:rsidRDefault="00C51C46" w:rsidP="000F0FD3">
      <w:pPr>
        <w:pStyle w:val="NormalWeb"/>
        <w:numPr>
          <w:ilvl w:val="0"/>
          <w:numId w:val="18"/>
        </w:numPr>
        <w:spacing w:before="0" w:beforeAutospacing="0" w:after="0" w:afterAutospacing="0" w:line="276" w:lineRule="auto"/>
        <w:jc w:val="both"/>
        <w:rPr>
          <w:rFonts w:ascii="Times New Roman" w:hAnsi="Times New Roman"/>
          <w:sz w:val="24"/>
          <w:szCs w:val="24"/>
        </w:rPr>
      </w:pPr>
      <w:proofErr w:type="spellStart"/>
      <w:r w:rsidRPr="000F0FD3">
        <w:rPr>
          <w:rFonts w:ascii="Times New Roman" w:hAnsi="Times New Roman"/>
          <w:sz w:val="24"/>
          <w:szCs w:val="24"/>
        </w:rPr>
        <w:t>Strategija</w:t>
      </w:r>
      <w:proofErr w:type="spellEnd"/>
      <w:r w:rsidRPr="000F0FD3">
        <w:rPr>
          <w:rFonts w:ascii="Times New Roman" w:hAnsi="Times New Roman"/>
          <w:sz w:val="24"/>
          <w:szCs w:val="24"/>
        </w:rPr>
        <w:t xml:space="preserve"> </w:t>
      </w:r>
      <w:proofErr w:type="spellStart"/>
      <w:r w:rsidRPr="000F0FD3">
        <w:rPr>
          <w:rFonts w:ascii="Times New Roman" w:hAnsi="Times New Roman"/>
          <w:sz w:val="24"/>
          <w:szCs w:val="24"/>
        </w:rPr>
        <w:t>znanosti</w:t>
      </w:r>
      <w:proofErr w:type="spellEnd"/>
      <w:r w:rsidRPr="000F0FD3">
        <w:rPr>
          <w:rFonts w:ascii="Times New Roman" w:hAnsi="Times New Roman"/>
          <w:sz w:val="24"/>
          <w:szCs w:val="24"/>
        </w:rPr>
        <w:t xml:space="preserve">, </w:t>
      </w:r>
      <w:proofErr w:type="spellStart"/>
      <w:r w:rsidRPr="000F0FD3">
        <w:rPr>
          <w:rFonts w:ascii="Times New Roman" w:hAnsi="Times New Roman"/>
          <w:sz w:val="24"/>
          <w:szCs w:val="24"/>
        </w:rPr>
        <w:t>obrazovanja</w:t>
      </w:r>
      <w:proofErr w:type="spellEnd"/>
      <w:r w:rsidRPr="000F0FD3">
        <w:rPr>
          <w:rFonts w:ascii="Times New Roman" w:hAnsi="Times New Roman"/>
          <w:sz w:val="24"/>
          <w:szCs w:val="24"/>
        </w:rPr>
        <w:t xml:space="preserve"> </w:t>
      </w:r>
      <w:proofErr w:type="spellStart"/>
      <w:r w:rsidRPr="000F0FD3">
        <w:rPr>
          <w:rFonts w:ascii="Times New Roman" w:hAnsi="Times New Roman"/>
          <w:sz w:val="24"/>
          <w:szCs w:val="24"/>
        </w:rPr>
        <w:t>i</w:t>
      </w:r>
      <w:proofErr w:type="spellEnd"/>
      <w:r w:rsidRPr="000F0FD3">
        <w:rPr>
          <w:rFonts w:ascii="Times New Roman" w:hAnsi="Times New Roman"/>
          <w:sz w:val="24"/>
          <w:szCs w:val="24"/>
        </w:rPr>
        <w:t xml:space="preserve"> </w:t>
      </w:r>
      <w:proofErr w:type="spellStart"/>
      <w:r w:rsidRPr="000F0FD3">
        <w:rPr>
          <w:rFonts w:ascii="Times New Roman" w:hAnsi="Times New Roman"/>
          <w:sz w:val="24"/>
          <w:szCs w:val="24"/>
        </w:rPr>
        <w:t>tehnologije</w:t>
      </w:r>
      <w:proofErr w:type="spellEnd"/>
      <w:r w:rsidRPr="000F0FD3">
        <w:rPr>
          <w:rFonts w:ascii="Times New Roman" w:hAnsi="Times New Roman"/>
          <w:sz w:val="24"/>
          <w:szCs w:val="24"/>
        </w:rPr>
        <w:t xml:space="preserve">, </w:t>
      </w:r>
    </w:p>
    <w:p w14:paraId="6094AF3B" w14:textId="49E23DFC" w:rsidR="00C51C46" w:rsidRPr="000F0FD3" w:rsidRDefault="00C51C46" w:rsidP="000F0FD3">
      <w:pPr>
        <w:pStyle w:val="NormalWeb"/>
        <w:numPr>
          <w:ilvl w:val="0"/>
          <w:numId w:val="18"/>
        </w:numPr>
        <w:spacing w:before="0" w:beforeAutospacing="0" w:after="0" w:afterAutospacing="0" w:line="276" w:lineRule="auto"/>
        <w:jc w:val="both"/>
        <w:rPr>
          <w:rFonts w:ascii="Times New Roman" w:hAnsi="Times New Roman"/>
          <w:sz w:val="24"/>
          <w:szCs w:val="24"/>
        </w:rPr>
      </w:pPr>
      <w:proofErr w:type="spellStart"/>
      <w:r w:rsidRPr="00BF483D">
        <w:rPr>
          <w:rFonts w:ascii="Times New Roman" w:hAnsi="Times New Roman"/>
          <w:sz w:val="24"/>
          <w:szCs w:val="24"/>
        </w:rPr>
        <w:t>Strategija</w:t>
      </w:r>
      <w:proofErr w:type="spellEnd"/>
      <w:r w:rsidRPr="00BF483D">
        <w:rPr>
          <w:rFonts w:ascii="Times New Roman" w:hAnsi="Times New Roman"/>
          <w:sz w:val="24"/>
          <w:szCs w:val="24"/>
        </w:rPr>
        <w:t xml:space="preserve"> </w:t>
      </w:r>
      <w:proofErr w:type="spellStart"/>
      <w:r w:rsidRPr="00BF483D">
        <w:rPr>
          <w:rFonts w:ascii="Times New Roman" w:hAnsi="Times New Roman"/>
          <w:sz w:val="24"/>
          <w:szCs w:val="24"/>
        </w:rPr>
        <w:t>razvoja</w:t>
      </w:r>
      <w:proofErr w:type="spellEnd"/>
      <w:r w:rsidRPr="00BF483D">
        <w:rPr>
          <w:rFonts w:ascii="Times New Roman" w:hAnsi="Times New Roman"/>
          <w:sz w:val="24"/>
          <w:szCs w:val="24"/>
        </w:rPr>
        <w:t xml:space="preserve"> </w:t>
      </w:r>
      <w:proofErr w:type="spellStart"/>
      <w:r w:rsidRPr="00BF483D">
        <w:rPr>
          <w:rFonts w:ascii="Times New Roman" w:hAnsi="Times New Roman"/>
          <w:sz w:val="24"/>
          <w:szCs w:val="24"/>
        </w:rPr>
        <w:t>Sveučilišta</w:t>
      </w:r>
      <w:proofErr w:type="spellEnd"/>
      <w:r w:rsidRPr="00BF483D">
        <w:rPr>
          <w:rFonts w:ascii="Times New Roman" w:hAnsi="Times New Roman"/>
          <w:sz w:val="24"/>
          <w:szCs w:val="24"/>
        </w:rPr>
        <w:t xml:space="preserve"> </w:t>
      </w:r>
      <w:proofErr w:type="spellStart"/>
      <w:r w:rsidR="00E96FE6">
        <w:rPr>
          <w:rFonts w:ascii="Times New Roman" w:hAnsi="Times New Roman"/>
          <w:sz w:val="24"/>
          <w:szCs w:val="24"/>
        </w:rPr>
        <w:t>Sveučilišta</w:t>
      </w:r>
      <w:proofErr w:type="spellEnd"/>
      <w:r w:rsidR="00E96FE6">
        <w:rPr>
          <w:rFonts w:ascii="Times New Roman" w:hAnsi="Times New Roman"/>
          <w:sz w:val="24"/>
          <w:szCs w:val="24"/>
        </w:rPr>
        <w:t xml:space="preserve"> u </w:t>
      </w:r>
      <w:proofErr w:type="spellStart"/>
      <w:r w:rsidR="00E96FE6">
        <w:rPr>
          <w:rFonts w:ascii="Times New Roman" w:hAnsi="Times New Roman"/>
          <w:sz w:val="24"/>
          <w:szCs w:val="24"/>
        </w:rPr>
        <w:t>Dubrovniku</w:t>
      </w:r>
      <w:proofErr w:type="spellEnd"/>
      <w:r w:rsidRPr="00BF483D">
        <w:rPr>
          <w:rFonts w:ascii="Times New Roman" w:hAnsi="Times New Roman"/>
          <w:sz w:val="24"/>
          <w:szCs w:val="24"/>
        </w:rPr>
        <w:t xml:space="preserve"> 2016.-2020., </w:t>
      </w:r>
    </w:p>
    <w:p w14:paraId="43134758" w14:textId="3062913E" w:rsidR="00C51C46" w:rsidRPr="000F0FD3" w:rsidRDefault="00C51C46" w:rsidP="000F0FD3">
      <w:pPr>
        <w:pStyle w:val="NormalWeb"/>
        <w:numPr>
          <w:ilvl w:val="0"/>
          <w:numId w:val="18"/>
        </w:numPr>
        <w:spacing w:before="0" w:beforeAutospacing="0" w:after="0" w:afterAutospacing="0" w:line="276" w:lineRule="auto"/>
        <w:jc w:val="both"/>
        <w:rPr>
          <w:rFonts w:ascii="Times New Roman" w:hAnsi="Times New Roman"/>
          <w:sz w:val="24"/>
          <w:szCs w:val="24"/>
        </w:rPr>
      </w:pPr>
      <w:proofErr w:type="spellStart"/>
      <w:r w:rsidRPr="000F0FD3">
        <w:rPr>
          <w:rFonts w:ascii="Times New Roman" w:hAnsi="Times New Roman"/>
          <w:sz w:val="24"/>
          <w:szCs w:val="24"/>
        </w:rPr>
        <w:t>Istraživačka</w:t>
      </w:r>
      <w:proofErr w:type="spellEnd"/>
      <w:r w:rsidRPr="000F0FD3">
        <w:rPr>
          <w:rFonts w:ascii="Times New Roman" w:hAnsi="Times New Roman"/>
          <w:sz w:val="24"/>
          <w:szCs w:val="24"/>
        </w:rPr>
        <w:t xml:space="preserve"> </w:t>
      </w:r>
      <w:proofErr w:type="spellStart"/>
      <w:r w:rsidRPr="000F0FD3">
        <w:rPr>
          <w:rFonts w:ascii="Times New Roman" w:hAnsi="Times New Roman"/>
          <w:sz w:val="24"/>
          <w:szCs w:val="24"/>
        </w:rPr>
        <w:t>strategija</w:t>
      </w:r>
      <w:proofErr w:type="spellEnd"/>
      <w:r w:rsidRPr="000F0FD3">
        <w:rPr>
          <w:rFonts w:ascii="Times New Roman" w:hAnsi="Times New Roman"/>
          <w:sz w:val="24"/>
          <w:szCs w:val="24"/>
        </w:rPr>
        <w:t xml:space="preserve"> </w:t>
      </w:r>
      <w:proofErr w:type="spellStart"/>
      <w:r w:rsidRPr="000F0FD3">
        <w:rPr>
          <w:rFonts w:ascii="Times New Roman" w:hAnsi="Times New Roman"/>
          <w:sz w:val="24"/>
          <w:szCs w:val="24"/>
        </w:rPr>
        <w:t>Sveučilišta</w:t>
      </w:r>
      <w:proofErr w:type="spellEnd"/>
      <w:r w:rsidRPr="000F0FD3">
        <w:rPr>
          <w:rFonts w:ascii="Times New Roman" w:hAnsi="Times New Roman"/>
          <w:sz w:val="24"/>
          <w:szCs w:val="24"/>
        </w:rPr>
        <w:t xml:space="preserve"> </w:t>
      </w:r>
      <w:r w:rsidR="00E96FE6">
        <w:rPr>
          <w:rFonts w:ascii="Times New Roman" w:hAnsi="Times New Roman"/>
          <w:sz w:val="24"/>
          <w:szCs w:val="24"/>
        </w:rPr>
        <w:t xml:space="preserve">u </w:t>
      </w:r>
      <w:proofErr w:type="spellStart"/>
      <w:r w:rsidR="00E96FE6">
        <w:rPr>
          <w:rFonts w:ascii="Times New Roman" w:hAnsi="Times New Roman"/>
          <w:sz w:val="24"/>
          <w:szCs w:val="24"/>
        </w:rPr>
        <w:t>Dubrovniku</w:t>
      </w:r>
      <w:proofErr w:type="spellEnd"/>
      <w:r w:rsidRPr="000F0FD3">
        <w:rPr>
          <w:rFonts w:ascii="Times New Roman" w:hAnsi="Times New Roman"/>
          <w:sz w:val="24"/>
          <w:szCs w:val="24"/>
        </w:rPr>
        <w:t xml:space="preserve"> 2016.-2020. </w:t>
      </w:r>
    </w:p>
    <w:p w14:paraId="43AAE07F" w14:textId="77777777" w:rsidR="00C51C46" w:rsidRPr="009D005B" w:rsidRDefault="00C51C46" w:rsidP="00C51C46">
      <w:pPr>
        <w:pStyle w:val="ListParagraph"/>
        <w:jc w:val="both"/>
        <w:rPr>
          <w:i/>
        </w:rPr>
      </w:pPr>
    </w:p>
    <w:tbl>
      <w:tblPr>
        <w:tblStyle w:val="TableGrid"/>
        <w:tblW w:w="0" w:type="auto"/>
        <w:tblLook w:val="04A0" w:firstRow="1" w:lastRow="0" w:firstColumn="1" w:lastColumn="0" w:noHBand="0" w:noVBand="1"/>
      </w:tblPr>
      <w:tblGrid>
        <w:gridCol w:w="1592"/>
        <w:gridCol w:w="1296"/>
        <w:gridCol w:w="1296"/>
        <w:gridCol w:w="1296"/>
        <w:gridCol w:w="1296"/>
        <w:gridCol w:w="1296"/>
        <w:gridCol w:w="990"/>
      </w:tblGrid>
      <w:tr w:rsidR="00C51C46" w:rsidRPr="009D005B" w14:paraId="2ADA4BA5" w14:textId="77777777" w:rsidTr="00861CCD">
        <w:tc>
          <w:tcPr>
            <w:tcW w:w="1592" w:type="dxa"/>
            <w:shd w:val="clear" w:color="auto" w:fill="D0CECE" w:themeFill="background2" w:themeFillShade="E6"/>
          </w:tcPr>
          <w:p w14:paraId="0D733A56" w14:textId="77777777" w:rsidR="00C51C46" w:rsidRPr="009D005B" w:rsidRDefault="00C51C46" w:rsidP="00C51C46">
            <w:pPr>
              <w:jc w:val="both"/>
            </w:pPr>
          </w:p>
          <w:p w14:paraId="1891B2B0" w14:textId="77777777" w:rsidR="00C51C46" w:rsidRPr="009D005B" w:rsidRDefault="00C51C46" w:rsidP="00C51C46">
            <w:pPr>
              <w:jc w:val="both"/>
            </w:pPr>
          </w:p>
        </w:tc>
        <w:tc>
          <w:tcPr>
            <w:tcW w:w="1296" w:type="dxa"/>
            <w:shd w:val="clear" w:color="auto" w:fill="D0CECE" w:themeFill="background2" w:themeFillShade="E6"/>
            <w:vAlign w:val="center"/>
          </w:tcPr>
          <w:p w14:paraId="2880BB51" w14:textId="30F35FB4" w:rsidR="00C51C46" w:rsidRPr="009D005B" w:rsidRDefault="005E2C15" w:rsidP="00C51C46">
            <w:pPr>
              <w:jc w:val="center"/>
            </w:pPr>
            <w:r>
              <w:t>Izvršenje 2021</w:t>
            </w:r>
            <w:r w:rsidR="00C51C46" w:rsidRPr="009D005B">
              <w:t>.</w:t>
            </w:r>
          </w:p>
        </w:tc>
        <w:tc>
          <w:tcPr>
            <w:tcW w:w="1296" w:type="dxa"/>
            <w:shd w:val="clear" w:color="auto" w:fill="D0CECE" w:themeFill="background2" w:themeFillShade="E6"/>
            <w:vAlign w:val="center"/>
          </w:tcPr>
          <w:p w14:paraId="6D9EE0CC" w14:textId="145BF233" w:rsidR="00C51C46" w:rsidRPr="009D005B" w:rsidRDefault="00C51C46" w:rsidP="00C51C46">
            <w:pPr>
              <w:jc w:val="center"/>
            </w:pPr>
            <w:r w:rsidRPr="009D005B">
              <w:t>Plan 20</w:t>
            </w:r>
            <w:r w:rsidR="005E2C15">
              <w:t>22</w:t>
            </w:r>
            <w:r w:rsidRPr="009D005B">
              <w:t>.</w:t>
            </w:r>
          </w:p>
        </w:tc>
        <w:tc>
          <w:tcPr>
            <w:tcW w:w="1296" w:type="dxa"/>
            <w:shd w:val="clear" w:color="auto" w:fill="D0CECE" w:themeFill="background2" w:themeFillShade="E6"/>
            <w:vAlign w:val="center"/>
          </w:tcPr>
          <w:p w14:paraId="0322F22A" w14:textId="59AB5885" w:rsidR="00C51C46" w:rsidRPr="009D005B" w:rsidRDefault="00C51C46" w:rsidP="00C51C46">
            <w:pPr>
              <w:jc w:val="center"/>
            </w:pPr>
            <w:r w:rsidRPr="009D005B">
              <w:t>Plan 202</w:t>
            </w:r>
            <w:r w:rsidR="005E2C15">
              <w:t>3</w:t>
            </w:r>
            <w:r w:rsidRPr="009D005B">
              <w:t>.</w:t>
            </w:r>
          </w:p>
        </w:tc>
        <w:tc>
          <w:tcPr>
            <w:tcW w:w="1296" w:type="dxa"/>
            <w:shd w:val="clear" w:color="auto" w:fill="D0CECE" w:themeFill="background2" w:themeFillShade="E6"/>
            <w:vAlign w:val="center"/>
          </w:tcPr>
          <w:p w14:paraId="6EB0F911" w14:textId="625C6F66" w:rsidR="00C51C46" w:rsidRPr="009D005B" w:rsidRDefault="00C51C46" w:rsidP="00C51C46">
            <w:pPr>
              <w:jc w:val="center"/>
            </w:pPr>
            <w:r w:rsidRPr="009D005B">
              <w:t>Plan 202</w:t>
            </w:r>
            <w:r w:rsidR="005E2C15">
              <w:t>4</w:t>
            </w:r>
            <w:r w:rsidRPr="009D005B">
              <w:t>.</w:t>
            </w:r>
          </w:p>
        </w:tc>
        <w:tc>
          <w:tcPr>
            <w:tcW w:w="1296" w:type="dxa"/>
            <w:shd w:val="clear" w:color="auto" w:fill="D0CECE" w:themeFill="background2" w:themeFillShade="E6"/>
            <w:vAlign w:val="center"/>
          </w:tcPr>
          <w:p w14:paraId="164FE9C8" w14:textId="080F45B0" w:rsidR="00C51C46" w:rsidRPr="009D005B" w:rsidRDefault="00C51C46" w:rsidP="00C51C46">
            <w:pPr>
              <w:jc w:val="center"/>
            </w:pPr>
            <w:r w:rsidRPr="009D005B">
              <w:t>Plan 202</w:t>
            </w:r>
            <w:r w:rsidR="005E2C15">
              <w:t>5</w:t>
            </w:r>
            <w:r w:rsidRPr="009D005B">
              <w:t>.</w:t>
            </w:r>
          </w:p>
        </w:tc>
        <w:tc>
          <w:tcPr>
            <w:tcW w:w="990" w:type="dxa"/>
            <w:shd w:val="clear" w:color="auto" w:fill="D0CECE" w:themeFill="background2" w:themeFillShade="E6"/>
            <w:vAlign w:val="center"/>
          </w:tcPr>
          <w:p w14:paraId="12C857BB" w14:textId="47914607" w:rsidR="00C51C46" w:rsidRPr="009D005B" w:rsidRDefault="005E2C15" w:rsidP="00C51C46">
            <w:pPr>
              <w:jc w:val="center"/>
            </w:pPr>
            <w:r w:rsidRPr="009D005B">
              <w:t>Indeks 2</w:t>
            </w:r>
            <w:r>
              <w:t>3</w:t>
            </w:r>
            <w:r w:rsidRPr="009D005B">
              <w:t>./</w:t>
            </w:r>
            <w:r>
              <w:t>22.</w:t>
            </w:r>
          </w:p>
        </w:tc>
      </w:tr>
      <w:tr w:rsidR="00C51C46" w:rsidRPr="009D005B" w14:paraId="7135A6EC" w14:textId="77777777" w:rsidTr="00861CCD">
        <w:tc>
          <w:tcPr>
            <w:tcW w:w="1592" w:type="dxa"/>
          </w:tcPr>
          <w:p w14:paraId="4CBAF31B" w14:textId="2F5D2248" w:rsidR="00C51C46" w:rsidRDefault="00C51C46" w:rsidP="00C51C46">
            <w:r>
              <w:t>A67909</w:t>
            </w:r>
            <w:r w:rsidR="00797D12">
              <w:t>3</w:t>
            </w:r>
          </w:p>
          <w:p w14:paraId="3B0D41EE" w14:textId="3119744B" w:rsidR="00C51C46" w:rsidRPr="009D005B" w:rsidRDefault="00C51C46" w:rsidP="00C51C46">
            <w:r>
              <w:t xml:space="preserve">Redovna djelatnost Sveučilišta u </w:t>
            </w:r>
            <w:r w:rsidR="00CC465A">
              <w:t>Dubrovniku</w:t>
            </w:r>
            <w:r>
              <w:t xml:space="preserve"> (iz evidencijskih prihoda)</w:t>
            </w:r>
          </w:p>
        </w:tc>
        <w:tc>
          <w:tcPr>
            <w:tcW w:w="1296" w:type="dxa"/>
            <w:shd w:val="clear" w:color="auto" w:fill="auto"/>
          </w:tcPr>
          <w:p w14:paraId="06A70940" w14:textId="5A9FE6D0" w:rsidR="00C51C46" w:rsidRPr="00E10E9D" w:rsidRDefault="0078389C" w:rsidP="00C51C46">
            <w:pPr>
              <w:jc w:val="both"/>
            </w:pPr>
            <w:r>
              <w:t>1.196.828</w:t>
            </w:r>
          </w:p>
        </w:tc>
        <w:tc>
          <w:tcPr>
            <w:tcW w:w="1296" w:type="dxa"/>
          </w:tcPr>
          <w:p w14:paraId="511AA228" w14:textId="7176CD28" w:rsidR="00C51C46" w:rsidRPr="00E10E9D" w:rsidRDefault="0078389C" w:rsidP="00DB20F2">
            <w:pPr>
              <w:jc w:val="both"/>
            </w:pPr>
            <w:r>
              <w:t>1.</w:t>
            </w:r>
            <w:r w:rsidR="00DB20F2">
              <w:t>376</w:t>
            </w:r>
            <w:r>
              <w:t>.</w:t>
            </w:r>
            <w:r w:rsidR="00DB20F2">
              <w:t>82</w:t>
            </w:r>
            <w:r>
              <w:t>4</w:t>
            </w:r>
          </w:p>
        </w:tc>
        <w:tc>
          <w:tcPr>
            <w:tcW w:w="1296" w:type="dxa"/>
          </w:tcPr>
          <w:p w14:paraId="05CBC46F" w14:textId="1C5E2877" w:rsidR="00C51C46" w:rsidRPr="00E10E9D" w:rsidRDefault="0078389C" w:rsidP="00DB20F2">
            <w:pPr>
              <w:jc w:val="both"/>
            </w:pPr>
            <w:r>
              <w:t>1.1</w:t>
            </w:r>
            <w:r w:rsidR="00DB20F2">
              <w:t>86</w:t>
            </w:r>
            <w:r>
              <w:t>.</w:t>
            </w:r>
            <w:r w:rsidR="00DB20F2">
              <w:t>220</w:t>
            </w:r>
          </w:p>
        </w:tc>
        <w:tc>
          <w:tcPr>
            <w:tcW w:w="1296" w:type="dxa"/>
          </w:tcPr>
          <w:p w14:paraId="753B7903" w14:textId="59A05D72" w:rsidR="00C51C46" w:rsidRPr="00E10E9D" w:rsidRDefault="0078389C" w:rsidP="00DB20F2">
            <w:pPr>
              <w:jc w:val="both"/>
            </w:pPr>
            <w:r>
              <w:t>1.1</w:t>
            </w:r>
            <w:r w:rsidR="00DB20F2">
              <w:t>70</w:t>
            </w:r>
            <w:r>
              <w:t>.</w:t>
            </w:r>
            <w:r w:rsidR="00DB20F2">
              <w:t>028</w:t>
            </w:r>
          </w:p>
        </w:tc>
        <w:tc>
          <w:tcPr>
            <w:tcW w:w="1296" w:type="dxa"/>
          </w:tcPr>
          <w:p w14:paraId="059E6C1E" w14:textId="33A20549" w:rsidR="00C51C46" w:rsidRPr="00E10E9D" w:rsidRDefault="0078389C" w:rsidP="00DB20F2">
            <w:pPr>
              <w:jc w:val="both"/>
            </w:pPr>
            <w:r>
              <w:t>1.1</w:t>
            </w:r>
            <w:r w:rsidR="00DB20F2">
              <w:t>55</w:t>
            </w:r>
            <w:r>
              <w:t>.</w:t>
            </w:r>
            <w:r w:rsidR="00DB20F2">
              <w:t>528</w:t>
            </w:r>
          </w:p>
        </w:tc>
        <w:tc>
          <w:tcPr>
            <w:tcW w:w="990" w:type="dxa"/>
          </w:tcPr>
          <w:p w14:paraId="29A67079" w14:textId="2287F639" w:rsidR="00C51C46" w:rsidRPr="00DA54BD" w:rsidRDefault="00DB20F2" w:rsidP="00DB20F2">
            <w:pPr>
              <w:jc w:val="both"/>
              <w:rPr>
                <w:color w:val="000000" w:themeColor="text1"/>
              </w:rPr>
            </w:pPr>
            <w:r>
              <w:rPr>
                <w:color w:val="000000" w:themeColor="text1"/>
              </w:rPr>
              <w:t>86</w:t>
            </w:r>
          </w:p>
        </w:tc>
      </w:tr>
    </w:tbl>
    <w:p w14:paraId="0B9EB414" w14:textId="77777777" w:rsidR="00861CCD" w:rsidRDefault="00861CCD" w:rsidP="00C51C46">
      <w:pPr>
        <w:jc w:val="both"/>
        <w:rPr>
          <w:i/>
        </w:rPr>
      </w:pPr>
    </w:p>
    <w:p w14:paraId="0221293B" w14:textId="2AE0C2D2" w:rsidR="00C51C46" w:rsidRPr="0078389C" w:rsidRDefault="00C51C46" w:rsidP="00C51C46">
      <w:pPr>
        <w:jc w:val="both"/>
      </w:pPr>
      <w:r w:rsidRPr="0078389C">
        <w:t xml:space="preserve">Ova aktivnost provodi se svake godine.  </w:t>
      </w:r>
    </w:p>
    <w:p w14:paraId="64345F27" w14:textId="2FA19F62" w:rsidR="00C51C46" w:rsidRPr="0078389C" w:rsidRDefault="00C51C46" w:rsidP="00C51C46">
      <w:pPr>
        <w:jc w:val="both"/>
      </w:pPr>
      <w:r w:rsidRPr="0078389C">
        <w:t>U razdoblju 202</w:t>
      </w:r>
      <w:r w:rsidR="0078389C" w:rsidRPr="0078389C">
        <w:t>3</w:t>
      </w:r>
      <w:r w:rsidRPr="0078389C">
        <w:t>. – 202</w:t>
      </w:r>
      <w:r w:rsidR="0078389C" w:rsidRPr="0078389C">
        <w:t>5</w:t>
      </w:r>
      <w:r w:rsidRPr="0078389C">
        <w:t xml:space="preserve">. očekuje se ostvarenje ciljeva sukladno Razvojnoj </w:t>
      </w:r>
      <w:r w:rsidR="007A3E1E" w:rsidRPr="0078389C">
        <w:t>i</w:t>
      </w:r>
      <w:r w:rsidRPr="0078389C">
        <w:t xml:space="preserve"> Istraživačkoj strategiji Sveučilišta.</w:t>
      </w:r>
    </w:p>
    <w:p w14:paraId="5F7F7ABE" w14:textId="730CE517" w:rsidR="00F80198" w:rsidRDefault="00F80198" w:rsidP="00C51C46">
      <w:pPr>
        <w:jc w:val="both"/>
      </w:pPr>
    </w:p>
    <w:p w14:paraId="09AE3A7A" w14:textId="15CB779E" w:rsidR="00AA3200" w:rsidRPr="00AA3200" w:rsidRDefault="00AA3200" w:rsidP="00AA3200">
      <w:pPr>
        <w:jc w:val="both"/>
        <w:rPr>
          <w:sz w:val="22"/>
          <w:szCs w:val="22"/>
          <w:lang w:eastAsia="en-US"/>
        </w:rPr>
      </w:pPr>
      <w:r w:rsidRPr="00AA3200">
        <w:t>Sveučilište u Dubrovniku je proračunski korisnik državnog proračuna 3. razine, koji posluje preko vlastitog  računa i čije se vlastiti i namjenski prihodi i primici ne uplaćuju, niti troše preko računa državnog proračuna. Za tu namjenu u državnom  proračunu otvorena je aktivnost A679093, redovna djelatnost Sveučilišta u Dubrovniku –iz evidencijskih prihoda. Najznačajniji dio navedenih evidencijskih prihoda odnosi se na izvor 31 vlastiti prihodi i izvor 43 prihodi po posebnim propisima (školarine, prihodi s osnova osiguranja,</w:t>
      </w:r>
      <w:r>
        <w:t xml:space="preserve"> </w:t>
      </w:r>
      <w:r w:rsidRPr="00AA3200">
        <w:t>refundacija štete i sl.).</w:t>
      </w:r>
    </w:p>
    <w:p w14:paraId="7C060D0B" w14:textId="5547AC54" w:rsidR="00AA3200" w:rsidRPr="00AA3200" w:rsidRDefault="00AA3200" w:rsidP="00AA3200">
      <w:pPr>
        <w:jc w:val="both"/>
      </w:pPr>
      <w:r w:rsidRPr="00AA3200">
        <w:t>U okviru izvora 31 vlast</w:t>
      </w:r>
      <w:r w:rsidR="00891C32">
        <w:t>i</w:t>
      </w:r>
      <w:r w:rsidRPr="00AA3200">
        <w:t xml:space="preserve">ti prihodi, na kontu 6614 planiraju se prihodi od prodaje proizvoda i robe u iznosu </w:t>
      </w:r>
      <w:r w:rsidR="00E40E9C">
        <w:t>79.634</w:t>
      </w:r>
      <w:r>
        <w:t xml:space="preserve"> EUR</w:t>
      </w:r>
      <w:r w:rsidRPr="00AA3200">
        <w:t xml:space="preserve">, te na kontu 6615, prihodi od pruženih usluga u iznosu od </w:t>
      </w:r>
      <w:r w:rsidR="00E40E9C">
        <w:t xml:space="preserve">530.891 EUR </w:t>
      </w:r>
      <w:r w:rsidRPr="00AA3200">
        <w:t xml:space="preserve"> Prihodi od pruženih usluga odnose se na prihode od programa izobrazbe,</w:t>
      </w:r>
      <w:r w:rsidR="00E40E9C">
        <w:t xml:space="preserve"> </w:t>
      </w:r>
      <w:r w:rsidRPr="00AA3200">
        <w:t xml:space="preserve">tečajeva, </w:t>
      </w:r>
      <w:r w:rsidRPr="00AA3200">
        <w:lastRenderedPageBreak/>
        <w:t>izrade projekata, studija i elaborata, najma prostora i sl. Pravilnikom o stjecanju i raspodjeli prihoda od vlastite djelatnosti uređuju se mjerila i način korištenja vlastitih prihoda koje ostvari Sveučilište u Dubrovniku na tržištu od obavljanja vlastite djelatnost sukladno propisima.</w:t>
      </w:r>
    </w:p>
    <w:p w14:paraId="0F2F5E14" w14:textId="7812B694" w:rsidR="00AA3200" w:rsidRPr="00AA3200" w:rsidRDefault="00AA3200" w:rsidP="00AA3200">
      <w:pPr>
        <w:jc w:val="both"/>
      </w:pPr>
      <w:r w:rsidRPr="00AA3200">
        <w:t>U okviru izvora 43 prihodi po posebnim propisima planir</w:t>
      </w:r>
      <w:r w:rsidR="00A92EEA">
        <w:t>a se prihod u iznosu od 523.601 EUR, a odnosi se na</w:t>
      </w:r>
      <w:r w:rsidRPr="00AA3200">
        <w:t xml:space="preserve"> upisnine i školarine za izvanredne studente i redovne studente koje ne ispunjavaju uvjete za oslobođenje od participacije u troškovima studija.  Budući da je broj upisanih studenata u 20</w:t>
      </w:r>
      <w:r w:rsidR="00E40E9C">
        <w:t>20</w:t>
      </w:r>
      <w:r w:rsidRPr="00AA3200">
        <w:t>./202</w:t>
      </w:r>
      <w:r w:rsidR="00E40E9C">
        <w:t>1</w:t>
      </w:r>
      <w:r w:rsidRPr="00AA3200">
        <w:t>. godini manji od očekivanog, nema osnove za povećanje prihoda od školarina.</w:t>
      </w:r>
    </w:p>
    <w:p w14:paraId="50BDABA6" w14:textId="176EE8BB" w:rsidR="00EB0770" w:rsidRPr="00AA3200" w:rsidRDefault="00EB0770" w:rsidP="00C51C46">
      <w:pPr>
        <w:jc w:val="both"/>
      </w:pPr>
    </w:p>
    <w:p w14:paraId="79B1ED0E" w14:textId="051E167D" w:rsidR="00837879" w:rsidRPr="00AA3200" w:rsidRDefault="00837879" w:rsidP="00837879">
      <w:pPr>
        <w:jc w:val="both"/>
      </w:pPr>
      <w:r w:rsidRPr="00AA3200">
        <w:t xml:space="preserve">U okviru izvora </w:t>
      </w:r>
      <w:r>
        <w:t xml:space="preserve">52 ostale pomoći, </w:t>
      </w:r>
      <w:r w:rsidRPr="00AA3200">
        <w:t xml:space="preserve"> planir</w:t>
      </w:r>
      <w:r>
        <w:t xml:space="preserve">a se prihod u iznosu od 52.094 EUR za 2023. godinu, iznos od 35.902 EUR za 2024. </w:t>
      </w:r>
      <w:r w:rsidR="00F96AE2">
        <w:t>g</w:t>
      </w:r>
      <w:r>
        <w:t>odin</w:t>
      </w:r>
      <w:r w:rsidR="00F96AE2">
        <w:t>u</w:t>
      </w:r>
      <w:r>
        <w:t xml:space="preserve"> i iznos od 21.402 EUR za 2025. godinu, a odnosi se na</w:t>
      </w:r>
      <w:r w:rsidRPr="00AA3200">
        <w:t xml:space="preserve"> </w:t>
      </w:r>
      <w:r>
        <w:t>prihode od Hrvatske zaklade za znanost za projekte.</w:t>
      </w:r>
    </w:p>
    <w:p w14:paraId="14E2D28E" w14:textId="77777777" w:rsidR="00AD148D" w:rsidRDefault="00AD148D" w:rsidP="00C51C46">
      <w:pPr>
        <w:jc w:val="both"/>
      </w:pPr>
    </w:p>
    <w:p w14:paraId="069B278D" w14:textId="77777777" w:rsidR="00AD148D" w:rsidRDefault="00AD148D" w:rsidP="00C51C46">
      <w:pPr>
        <w:jc w:val="both"/>
      </w:pPr>
    </w:p>
    <w:p w14:paraId="48333B27" w14:textId="3D627E7C" w:rsidR="00C51C46" w:rsidRDefault="00C51C46" w:rsidP="00C51C46">
      <w:pPr>
        <w:jc w:val="both"/>
      </w:pPr>
      <w:r w:rsidRPr="0078389C">
        <w:t>Izračun financijskog plana:</w:t>
      </w:r>
    </w:p>
    <w:p w14:paraId="2AE1174E" w14:textId="77777777" w:rsidR="00AD148D" w:rsidRPr="0078389C" w:rsidRDefault="00AD148D" w:rsidP="00C51C46">
      <w:pPr>
        <w:jc w:val="both"/>
      </w:pPr>
    </w:p>
    <w:p w14:paraId="393C188D" w14:textId="2170589F" w:rsidR="00F80198" w:rsidRPr="0078389C" w:rsidRDefault="00C51C46" w:rsidP="00C51C46">
      <w:pPr>
        <w:jc w:val="both"/>
      </w:pPr>
      <w:r w:rsidRPr="0078389C">
        <w:t xml:space="preserve">Plan rashoda </w:t>
      </w:r>
      <w:r w:rsidR="003116AB">
        <w:t>R</w:t>
      </w:r>
      <w:r w:rsidRPr="0078389C">
        <w:t xml:space="preserve">edovne djelatnosti Sveučilišta u </w:t>
      </w:r>
      <w:r w:rsidR="0078389C">
        <w:t>Dubrovniku</w:t>
      </w:r>
      <w:r w:rsidRPr="0078389C">
        <w:t xml:space="preserve"> iz evidencijskih prihoda (izvori 31, 43, 52,61) </w:t>
      </w:r>
      <w:r w:rsidR="00F80198" w:rsidRPr="0078389C">
        <w:rPr>
          <w:iCs/>
        </w:rPr>
        <w:t>i</w:t>
      </w:r>
      <w:r w:rsidRPr="0078389C">
        <w:t>z</w:t>
      </w:r>
      <w:r w:rsidR="00AD148D">
        <w:t xml:space="preserve"> iznosi 1.</w:t>
      </w:r>
      <w:r w:rsidR="00837879">
        <w:t>1</w:t>
      </w:r>
      <w:r w:rsidR="00AD148D">
        <w:t>8</w:t>
      </w:r>
      <w:r w:rsidR="00837879">
        <w:t>6</w:t>
      </w:r>
      <w:r w:rsidR="00AD148D">
        <w:t>.</w:t>
      </w:r>
      <w:r w:rsidR="00837879">
        <w:t>220</w:t>
      </w:r>
      <w:r w:rsidR="00AD148D">
        <w:t xml:space="preserve"> EUR.</w:t>
      </w:r>
    </w:p>
    <w:p w14:paraId="547867B2" w14:textId="77777777" w:rsidR="00F80198" w:rsidRDefault="00F80198" w:rsidP="00C51C46">
      <w:pPr>
        <w:jc w:val="both"/>
        <w:rPr>
          <w:i/>
        </w:rPr>
      </w:pPr>
    </w:p>
    <w:p w14:paraId="1583AA65" w14:textId="1060BFC5" w:rsidR="00225A8A" w:rsidRDefault="00225A8A" w:rsidP="00225A8A">
      <w:pPr>
        <w:jc w:val="both"/>
      </w:pPr>
    </w:p>
    <w:p w14:paraId="6AA99765" w14:textId="77777777" w:rsidR="008017C8" w:rsidRDefault="008017C8" w:rsidP="00225A8A">
      <w:pPr>
        <w:jc w:val="both"/>
      </w:pPr>
    </w:p>
    <w:p w14:paraId="19CE765E" w14:textId="77777777" w:rsidR="00C97A9D" w:rsidRPr="009D005B" w:rsidRDefault="00C97A9D" w:rsidP="00C97A9D">
      <w:pPr>
        <w:jc w:val="both"/>
      </w:pPr>
    </w:p>
    <w:p w14:paraId="696CB2C0" w14:textId="4C13B5ED" w:rsidR="007E33B2" w:rsidRPr="009D005B" w:rsidRDefault="007E33B2" w:rsidP="007E33B2">
      <w:pPr>
        <w:pBdr>
          <w:top w:val="dotted" w:sz="4" w:space="1" w:color="808080" w:themeColor="background1" w:themeShade="80"/>
          <w:bottom w:val="dotted" w:sz="4" w:space="1" w:color="808080" w:themeColor="background1" w:themeShade="80"/>
        </w:pBdr>
        <w:shd w:val="clear" w:color="auto" w:fill="D0CECE" w:themeFill="background2" w:themeFillShade="E6"/>
        <w:jc w:val="both"/>
        <w:rPr>
          <w:b/>
          <w:sz w:val="28"/>
        </w:rPr>
      </w:pPr>
      <w:r w:rsidRPr="00B27A9A">
        <w:rPr>
          <w:b/>
          <w:sz w:val="28"/>
        </w:rPr>
        <w:t>A67907</w:t>
      </w:r>
      <w:r w:rsidR="003116AB">
        <w:rPr>
          <w:b/>
          <w:sz w:val="28"/>
        </w:rPr>
        <w:t>3</w:t>
      </w:r>
      <w:r w:rsidRPr="00B27A9A">
        <w:rPr>
          <w:b/>
          <w:sz w:val="28"/>
        </w:rPr>
        <w:t xml:space="preserve"> EU projekti Sveučilišta u </w:t>
      </w:r>
      <w:r w:rsidR="00AF20BA">
        <w:rPr>
          <w:b/>
          <w:sz w:val="28"/>
        </w:rPr>
        <w:t>Dubrovniku</w:t>
      </w:r>
      <w:r w:rsidRPr="00B27A9A">
        <w:rPr>
          <w:b/>
          <w:sz w:val="28"/>
        </w:rPr>
        <w:t xml:space="preserve"> (iz evidencijskih prihoda)</w:t>
      </w:r>
    </w:p>
    <w:p w14:paraId="0A1263AB" w14:textId="77777777" w:rsidR="007E33B2" w:rsidRDefault="007E33B2" w:rsidP="007E33B2">
      <w:pPr>
        <w:jc w:val="both"/>
        <w:rPr>
          <w:i/>
        </w:rPr>
      </w:pPr>
    </w:p>
    <w:p w14:paraId="7E864A85" w14:textId="77777777" w:rsidR="007E33B2" w:rsidRPr="00BC0935" w:rsidRDefault="007E33B2" w:rsidP="007E33B2">
      <w:pPr>
        <w:jc w:val="both"/>
      </w:pPr>
      <w:r w:rsidRPr="00BC0935">
        <w:t>Zakonske i druge pravne osnove</w:t>
      </w:r>
    </w:p>
    <w:p w14:paraId="00E5C163" w14:textId="77777777" w:rsidR="007E33B2" w:rsidRPr="00BC0935" w:rsidRDefault="007E33B2" w:rsidP="007E33B2">
      <w:pPr>
        <w:jc w:val="both"/>
      </w:pPr>
    </w:p>
    <w:p w14:paraId="0938AA31" w14:textId="42BD5F0A" w:rsidR="007E33B2" w:rsidRPr="00B177B7" w:rsidRDefault="007E33B2" w:rsidP="00B177B7">
      <w:pPr>
        <w:pStyle w:val="NormalWeb"/>
        <w:numPr>
          <w:ilvl w:val="0"/>
          <w:numId w:val="18"/>
        </w:numPr>
        <w:spacing w:before="0" w:beforeAutospacing="0" w:after="0" w:afterAutospacing="0" w:line="276" w:lineRule="auto"/>
        <w:jc w:val="both"/>
        <w:rPr>
          <w:rFonts w:ascii="Times New Roman" w:hAnsi="Times New Roman"/>
          <w:sz w:val="24"/>
          <w:szCs w:val="24"/>
        </w:rPr>
      </w:pPr>
      <w:proofErr w:type="spellStart"/>
      <w:r w:rsidRPr="00B177B7">
        <w:rPr>
          <w:rFonts w:ascii="Times New Roman" w:hAnsi="Times New Roman"/>
          <w:sz w:val="24"/>
          <w:szCs w:val="24"/>
        </w:rPr>
        <w:t>Zakon</w:t>
      </w:r>
      <w:proofErr w:type="spellEnd"/>
      <w:r w:rsidRPr="00B177B7">
        <w:rPr>
          <w:rFonts w:ascii="Times New Roman" w:hAnsi="Times New Roman"/>
          <w:sz w:val="24"/>
          <w:szCs w:val="24"/>
        </w:rPr>
        <w:t xml:space="preserve"> o </w:t>
      </w:r>
      <w:proofErr w:type="spellStart"/>
      <w:r w:rsidRPr="00B177B7">
        <w:rPr>
          <w:rFonts w:ascii="Times New Roman" w:hAnsi="Times New Roman"/>
          <w:sz w:val="24"/>
          <w:szCs w:val="24"/>
        </w:rPr>
        <w:t>znanstvenoj</w:t>
      </w:r>
      <w:proofErr w:type="spellEnd"/>
      <w:r w:rsidRPr="00B177B7">
        <w:rPr>
          <w:rFonts w:ascii="Times New Roman" w:hAnsi="Times New Roman"/>
          <w:sz w:val="24"/>
          <w:szCs w:val="24"/>
        </w:rPr>
        <w:t xml:space="preserve"> </w:t>
      </w:r>
      <w:proofErr w:type="spellStart"/>
      <w:r w:rsidRPr="00B177B7">
        <w:rPr>
          <w:rFonts w:ascii="Times New Roman" w:hAnsi="Times New Roman"/>
          <w:sz w:val="24"/>
          <w:szCs w:val="24"/>
        </w:rPr>
        <w:t>djelatnosti</w:t>
      </w:r>
      <w:proofErr w:type="spellEnd"/>
      <w:r w:rsidRPr="00B177B7">
        <w:rPr>
          <w:rFonts w:ascii="Times New Roman" w:hAnsi="Times New Roman"/>
          <w:sz w:val="24"/>
          <w:szCs w:val="24"/>
        </w:rPr>
        <w:t xml:space="preserve"> </w:t>
      </w:r>
      <w:proofErr w:type="spellStart"/>
      <w:r w:rsidRPr="00B177B7">
        <w:rPr>
          <w:rFonts w:ascii="Times New Roman" w:hAnsi="Times New Roman"/>
          <w:sz w:val="24"/>
          <w:szCs w:val="24"/>
        </w:rPr>
        <w:t>i</w:t>
      </w:r>
      <w:proofErr w:type="spellEnd"/>
      <w:r w:rsidRPr="00B177B7">
        <w:rPr>
          <w:rFonts w:ascii="Times New Roman" w:hAnsi="Times New Roman"/>
          <w:sz w:val="24"/>
          <w:szCs w:val="24"/>
        </w:rPr>
        <w:t xml:space="preserve"> </w:t>
      </w:r>
      <w:proofErr w:type="spellStart"/>
      <w:r w:rsidRPr="00B177B7">
        <w:rPr>
          <w:rFonts w:ascii="Times New Roman" w:hAnsi="Times New Roman"/>
          <w:sz w:val="24"/>
          <w:szCs w:val="24"/>
        </w:rPr>
        <w:t>visokom</w:t>
      </w:r>
      <w:proofErr w:type="spellEnd"/>
      <w:r w:rsidRPr="00B177B7">
        <w:rPr>
          <w:rFonts w:ascii="Times New Roman" w:hAnsi="Times New Roman"/>
          <w:sz w:val="24"/>
          <w:szCs w:val="24"/>
        </w:rPr>
        <w:t xml:space="preserve"> </w:t>
      </w:r>
      <w:proofErr w:type="spellStart"/>
      <w:r w:rsidRPr="00B177B7">
        <w:rPr>
          <w:rFonts w:ascii="Times New Roman" w:hAnsi="Times New Roman"/>
          <w:sz w:val="24"/>
          <w:szCs w:val="24"/>
        </w:rPr>
        <w:t>obrazovanju</w:t>
      </w:r>
      <w:proofErr w:type="spellEnd"/>
      <w:r w:rsidRPr="00B177B7">
        <w:rPr>
          <w:rFonts w:ascii="Times New Roman" w:hAnsi="Times New Roman"/>
          <w:sz w:val="24"/>
          <w:szCs w:val="24"/>
        </w:rPr>
        <w:t xml:space="preserve"> </w:t>
      </w:r>
    </w:p>
    <w:p w14:paraId="5DE5C842" w14:textId="3C967848" w:rsidR="007E33B2" w:rsidRPr="00B177B7" w:rsidRDefault="007E33B2" w:rsidP="00B177B7">
      <w:pPr>
        <w:pStyle w:val="NormalWeb"/>
        <w:numPr>
          <w:ilvl w:val="0"/>
          <w:numId w:val="18"/>
        </w:numPr>
        <w:spacing w:before="0" w:beforeAutospacing="0" w:after="0" w:afterAutospacing="0" w:line="276" w:lineRule="auto"/>
        <w:jc w:val="both"/>
        <w:rPr>
          <w:rFonts w:ascii="Times New Roman" w:hAnsi="Times New Roman"/>
          <w:sz w:val="24"/>
          <w:szCs w:val="24"/>
        </w:rPr>
      </w:pPr>
      <w:proofErr w:type="spellStart"/>
      <w:r w:rsidRPr="00BF483D">
        <w:rPr>
          <w:rFonts w:ascii="Times New Roman" w:hAnsi="Times New Roman"/>
          <w:sz w:val="24"/>
          <w:szCs w:val="24"/>
        </w:rPr>
        <w:t>Strategija</w:t>
      </w:r>
      <w:proofErr w:type="spellEnd"/>
      <w:r w:rsidRPr="00BF483D">
        <w:rPr>
          <w:rFonts w:ascii="Times New Roman" w:hAnsi="Times New Roman"/>
          <w:sz w:val="24"/>
          <w:szCs w:val="24"/>
        </w:rPr>
        <w:t xml:space="preserve"> </w:t>
      </w:r>
      <w:proofErr w:type="spellStart"/>
      <w:r w:rsidRPr="00BF483D">
        <w:rPr>
          <w:rFonts w:ascii="Times New Roman" w:hAnsi="Times New Roman"/>
          <w:sz w:val="24"/>
          <w:szCs w:val="24"/>
        </w:rPr>
        <w:t>razvoja</w:t>
      </w:r>
      <w:proofErr w:type="spellEnd"/>
      <w:r w:rsidRPr="00BF483D">
        <w:rPr>
          <w:rFonts w:ascii="Times New Roman" w:hAnsi="Times New Roman"/>
          <w:sz w:val="24"/>
          <w:szCs w:val="24"/>
        </w:rPr>
        <w:t xml:space="preserve"> </w:t>
      </w:r>
      <w:proofErr w:type="spellStart"/>
      <w:r w:rsidRPr="00BF483D">
        <w:rPr>
          <w:rFonts w:ascii="Times New Roman" w:hAnsi="Times New Roman"/>
          <w:sz w:val="24"/>
          <w:szCs w:val="24"/>
        </w:rPr>
        <w:t>Sveučilišta</w:t>
      </w:r>
      <w:proofErr w:type="spellEnd"/>
      <w:r w:rsidRPr="00BF483D">
        <w:rPr>
          <w:rFonts w:ascii="Times New Roman" w:hAnsi="Times New Roman"/>
          <w:sz w:val="24"/>
          <w:szCs w:val="24"/>
        </w:rPr>
        <w:t xml:space="preserve"> </w:t>
      </w:r>
      <w:r w:rsidR="00BC0935">
        <w:rPr>
          <w:rFonts w:ascii="Times New Roman" w:hAnsi="Times New Roman"/>
          <w:sz w:val="24"/>
          <w:szCs w:val="24"/>
        </w:rPr>
        <w:t xml:space="preserve">u </w:t>
      </w:r>
      <w:proofErr w:type="spellStart"/>
      <w:r w:rsidR="00BC0935">
        <w:rPr>
          <w:rFonts w:ascii="Times New Roman" w:hAnsi="Times New Roman"/>
          <w:sz w:val="24"/>
          <w:szCs w:val="24"/>
        </w:rPr>
        <w:t>Dubrovniku</w:t>
      </w:r>
      <w:proofErr w:type="spellEnd"/>
      <w:r w:rsidRPr="00BF483D">
        <w:rPr>
          <w:rFonts w:ascii="Times New Roman" w:hAnsi="Times New Roman"/>
          <w:sz w:val="24"/>
          <w:szCs w:val="24"/>
        </w:rPr>
        <w:t xml:space="preserve"> 2016.-2020., (2016.) </w:t>
      </w:r>
    </w:p>
    <w:p w14:paraId="534062A1" w14:textId="4A6DCC2B" w:rsidR="007E33B2" w:rsidRPr="007C5A43" w:rsidRDefault="007E33B2" w:rsidP="00B177B7">
      <w:pPr>
        <w:pStyle w:val="NormalWeb"/>
        <w:numPr>
          <w:ilvl w:val="0"/>
          <w:numId w:val="18"/>
        </w:numPr>
        <w:spacing w:before="0" w:beforeAutospacing="0" w:after="0" w:afterAutospacing="0" w:line="276" w:lineRule="auto"/>
        <w:jc w:val="both"/>
        <w:rPr>
          <w:rFonts w:ascii="Times New Roman" w:hAnsi="Times New Roman"/>
          <w:sz w:val="24"/>
          <w:szCs w:val="24"/>
        </w:rPr>
      </w:pPr>
      <w:proofErr w:type="spellStart"/>
      <w:r w:rsidRPr="00B177B7">
        <w:rPr>
          <w:rFonts w:ascii="Times New Roman" w:hAnsi="Times New Roman"/>
          <w:sz w:val="24"/>
          <w:szCs w:val="24"/>
        </w:rPr>
        <w:t>Istraživačka</w:t>
      </w:r>
      <w:proofErr w:type="spellEnd"/>
      <w:r w:rsidRPr="00B177B7">
        <w:rPr>
          <w:rFonts w:ascii="Times New Roman" w:hAnsi="Times New Roman"/>
          <w:sz w:val="24"/>
          <w:szCs w:val="24"/>
        </w:rPr>
        <w:t xml:space="preserve"> </w:t>
      </w:r>
      <w:proofErr w:type="spellStart"/>
      <w:r w:rsidRPr="00B177B7">
        <w:rPr>
          <w:rFonts w:ascii="Times New Roman" w:hAnsi="Times New Roman"/>
          <w:sz w:val="24"/>
          <w:szCs w:val="24"/>
        </w:rPr>
        <w:t>strategija</w:t>
      </w:r>
      <w:proofErr w:type="spellEnd"/>
      <w:r w:rsidRPr="00B177B7">
        <w:rPr>
          <w:rFonts w:ascii="Times New Roman" w:hAnsi="Times New Roman"/>
          <w:sz w:val="24"/>
          <w:szCs w:val="24"/>
        </w:rPr>
        <w:t xml:space="preserve"> </w:t>
      </w:r>
      <w:proofErr w:type="spellStart"/>
      <w:r w:rsidRPr="00B177B7">
        <w:rPr>
          <w:rFonts w:ascii="Times New Roman" w:hAnsi="Times New Roman"/>
          <w:sz w:val="24"/>
          <w:szCs w:val="24"/>
        </w:rPr>
        <w:t>Sveučilišta</w:t>
      </w:r>
      <w:proofErr w:type="spellEnd"/>
      <w:r w:rsidRPr="00B177B7">
        <w:rPr>
          <w:rFonts w:ascii="Times New Roman" w:hAnsi="Times New Roman"/>
          <w:sz w:val="24"/>
          <w:szCs w:val="24"/>
        </w:rPr>
        <w:t xml:space="preserve"> </w:t>
      </w:r>
      <w:r w:rsidR="00BC0935">
        <w:rPr>
          <w:rFonts w:ascii="Times New Roman" w:hAnsi="Times New Roman"/>
          <w:sz w:val="24"/>
          <w:szCs w:val="24"/>
        </w:rPr>
        <w:t xml:space="preserve">u </w:t>
      </w:r>
      <w:proofErr w:type="spellStart"/>
      <w:r w:rsidR="00BC0935">
        <w:rPr>
          <w:rFonts w:ascii="Times New Roman" w:hAnsi="Times New Roman"/>
          <w:sz w:val="24"/>
          <w:szCs w:val="24"/>
        </w:rPr>
        <w:t>Dubrovniku</w:t>
      </w:r>
      <w:proofErr w:type="spellEnd"/>
      <w:r w:rsidRPr="00B177B7">
        <w:rPr>
          <w:rFonts w:ascii="Times New Roman" w:hAnsi="Times New Roman"/>
          <w:sz w:val="24"/>
          <w:szCs w:val="24"/>
        </w:rPr>
        <w:t xml:space="preserve"> 2016.-2020. </w:t>
      </w:r>
    </w:p>
    <w:p w14:paraId="7BCFA68D" w14:textId="304A25A4" w:rsidR="007E33B2" w:rsidRPr="00BF483D" w:rsidRDefault="007E33B2" w:rsidP="00B177B7">
      <w:pPr>
        <w:pStyle w:val="NormalWeb"/>
        <w:numPr>
          <w:ilvl w:val="0"/>
          <w:numId w:val="18"/>
        </w:numPr>
        <w:spacing w:before="0" w:beforeAutospacing="0" w:after="0" w:afterAutospacing="0" w:line="276" w:lineRule="auto"/>
        <w:jc w:val="both"/>
        <w:rPr>
          <w:rFonts w:ascii="Times New Roman" w:hAnsi="Times New Roman"/>
          <w:sz w:val="24"/>
          <w:szCs w:val="24"/>
        </w:rPr>
      </w:pPr>
      <w:proofErr w:type="spellStart"/>
      <w:r w:rsidRPr="00BF483D">
        <w:rPr>
          <w:rFonts w:ascii="Times New Roman" w:hAnsi="Times New Roman"/>
          <w:sz w:val="24"/>
          <w:szCs w:val="24"/>
        </w:rPr>
        <w:t>Sporazum</w:t>
      </w:r>
      <w:proofErr w:type="spellEnd"/>
      <w:r w:rsidRPr="00BF483D">
        <w:rPr>
          <w:rFonts w:ascii="Times New Roman" w:hAnsi="Times New Roman"/>
          <w:sz w:val="24"/>
          <w:szCs w:val="24"/>
        </w:rPr>
        <w:t xml:space="preserve"> o </w:t>
      </w:r>
      <w:proofErr w:type="spellStart"/>
      <w:r w:rsidRPr="00BF483D">
        <w:rPr>
          <w:rFonts w:ascii="Times New Roman" w:hAnsi="Times New Roman"/>
          <w:sz w:val="24"/>
          <w:szCs w:val="24"/>
        </w:rPr>
        <w:t>partnerstvu</w:t>
      </w:r>
      <w:proofErr w:type="spellEnd"/>
      <w:r w:rsidRPr="00BF483D">
        <w:rPr>
          <w:rFonts w:ascii="Times New Roman" w:hAnsi="Times New Roman"/>
          <w:sz w:val="24"/>
          <w:szCs w:val="24"/>
        </w:rPr>
        <w:t xml:space="preserve"> </w:t>
      </w:r>
      <w:proofErr w:type="spellStart"/>
      <w:r w:rsidRPr="00BF483D">
        <w:rPr>
          <w:rFonts w:ascii="Times New Roman" w:hAnsi="Times New Roman"/>
          <w:sz w:val="24"/>
          <w:szCs w:val="24"/>
        </w:rPr>
        <w:t>između</w:t>
      </w:r>
      <w:proofErr w:type="spellEnd"/>
      <w:r w:rsidRPr="00BF483D">
        <w:rPr>
          <w:rFonts w:ascii="Times New Roman" w:hAnsi="Times New Roman"/>
          <w:sz w:val="24"/>
          <w:szCs w:val="24"/>
        </w:rPr>
        <w:t xml:space="preserve"> </w:t>
      </w:r>
      <w:proofErr w:type="spellStart"/>
      <w:r w:rsidRPr="00BF483D">
        <w:rPr>
          <w:rFonts w:ascii="Times New Roman" w:hAnsi="Times New Roman"/>
          <w:sz w:val="24"/>
          <w:szCs w:val="24"/>
        </w:rPr>
        <w:t>Republike</w:t>
      </w:r>
      <w:proofErr w:type="spellEnd"/>
      <w:r w:rsidRPr="00BF483D">
        <w:rPr>
          <w:rFonts w:ascii="Times New Roman" w:hAnsi="Times New Roman"/>
          <w:sz w:val="24"/>
          <w:szCs w:val="24"/>
        </w:rPr>
        <w:t xml:space="preserve"> </w:t>
      </w:r>
      <w:proofErr w:type="spellStart"/>
      <w:r w:rsidRPr="00BF483D">
        <w:rPr>
          <w:rFonts w:ascii="Times New Roman" w:hAnsi="Times New Roman"/>
          <w:sz w:val="24"/>
          <w:szCs w:val="24"/>
        </w:rPr>
        <w:t>Hrvatske</w:t>
      </w:r>
      <w:proofErr w:type="spellEnd"/>
      <w:r w:rsidRPr="00BF483D">
        <w:rPr>
          <w:rFonts w:ascii="Times New Roman" w:hAnsi="Times New Roman"/>
          <w:sz w:val="24"/>
          <w:szCs w:val="24"/>
        </w:rPr>
        <w:t xml:space="preserve"> </w:t>
      </w:r>
      <w:proofErr w:type="spellStart"/>
      <w:r w:rsidRPr="00BF483D">
        <w:rPr>
          <w:rFonts w:ascii="Times New Roman" w:hAnsi="Times New Roman"/>
          <w:sz w:val="24"/>
          <w:szCs w:val="24"/>
        </w:rPr>
        <w:t>i</w:t>
      </w:r>
      <w:proofErr w:type="spellEnd"/>
      <w:r w:rsidRPr="00BF483D">
        <w:rPr>
          <w:rFonts w:ascii="Times New Roman" w:hAnsi="Times New Roman"/>
          <w:sz w:val="24"/>
          <w:szCs w:val="24"/>
        </w:rPr>
        <w:t xml:space="preserve"> </w:t>
      </w:r>
      <w:proofErr w:type="spellStart"/>
      <w:r w:rsidRPr="00BF483D">
        <w:rPr>
          <w:rFonts w:ascii="Times New Roman" w:hAnsi="Times New Roman"/>
          <w:sz w:val="24"/>
          <w:szCs w:val="24"/>
        </w:rPr>
        <w:t>Europske</w:t>
      </w:r>
      <w:proofErr w:type="spellEnd"/>
      <w:r w:rsidRPr="00BF483D">
        <w:rPr>
          <w:rFonts w:ascii="Times New Roman" w:hAnsi="Times New Roman"/>
          <w:sz w:val="24"/>
          <w:szCs w:val="24"/>
        </w:rPr>
        <w:t xml:space="preserve"> </w:t>
      </w:r>
      <w:proofErr w:type="spellStart"/>
      <w:r w:rsidRPr="00BF483D">
        <w:rPr>
          <w:rFonts w:ascii="Times New Roman" w:hAnsi="Times New Roman"/>
          <w:sz w:val="24"/>
          <w:szCs w:val="24"/>
        </w:rPr>
        <w:t>komisije</w:t>
      </w:r>
      <w:proofErr w:type="spellEnd"/>
      <w:r w:rsidRPr="00BF483D">
        <w:rPr>
          <w:rFonts w:ascii="Times New Roman" w:hAnsi="Times New Roman"/>
          <w:sz w:val="24"/>
          <w:szCs w:val="24"/>
        </w:rPr>
        <w:t xml:space="preserve"> </w:t>
      </w:r>
      <w:proofErr w:type="spellStart"/>
      <w:r w:rsidRPr="00BF483D">
        <w:rPr>
          <w:rFonts w:ascii="Times New Roman" w:hAnsi="Times New Roman"/>
          <w:sz w:val="24"/>
          <w:szCs w:val="24"/>
        </w:rPr>
        <w:t>za</w:t>
      </w:r>
      <w:proofErr w:type="spellEnd"/>
      <w:r w:rsidRPr="00BF483D">
        <w:rPr>
          <w:rFonts w:ascii="Times New Roman" w:hAnsi="Times New Roman"/>
          <w:sz w:val="24"/>
          <w:szCs w:val="24"/>
        </w:rPr>
        <w:t xml:space="preserve"> </w:t>
      </w:r>
      <w:proofErr w:type="spellStart"/>
      <w:r w:rsidRPr="00BF483D">
        <w:rPr>
          <w:rFonts w:ascii="Times New Roman" w:hAnsi="Times New Roman"/>
          <w:sz w:val="24"/>
          <w:szCs w:val="24"/>
        </w:rPr>
        <w:t>korištenje</w:t>
      </w:r>
      <w:proofErr w:type="spellEnd"/>
      <w:r w:rsidRPr="00BF483D">
        <w:rPr>
          <w:rFonts w:ascii="Times New Roman" w:hAnsi="Times New Roman"/>
          <w:sz w:val="24"/>
          <w:szCs w:val="24"/>
        </w:rPr>
        <w:t xml:space="preserve"> </w:t>
      </w:r>
      <w:proofErr w:type="spellStart"/>
      <w:r w:rsidRPr="00BF483D">
        <w:rPr>
          <w:rFonts w:ascii="Times New Roman" w:hAnsi="Times New Roman"/>
          <w:sz w:val="24"/>
          <w:szCs w:val="24"/>
        </w:rPr>
        <w:t>Europskih</w:t>
      </w:r>
      <w:proofErr w:type="spellEnd"/>
      <w:r w:rsidRPr="00BF483D">
        <w:rPr>
          <w:rFonts w:ascii="Times New Roman" w:hAnsi="Times New Roman"/>
          <w:sz w:val="24"/>
          <w:szCs w:val="24"/>
        </w:rPr>
        <w:t xml:space="preserve"> </w:t>
      </w:r>
      <w:proofErr w:type="spellStart"/>
      <w:r w:rsidRPr="00BF483D">
        <w:rPr>
          <w:rFonts w:ascii="Times New Roman" w:hAnsi="Times New Roman"/>
          <w:sz w:val="24"/>
          <w:szCs w:val="24"/>
        </w:rPr>
        <w:t>strukturnih</w:t>
      </w:r>
      <w:proofErr w:type="spellEnd"/>
      <w:r w:rsidRPr="00BF483D">
        <w:rPr>
          <w:rFonts w:ascii="Times New Roman" w:hAnsi="Times New Roman"/>
          <w:sz w:val="24"/>
          <w:szCs w:val="24"/>
        </w:rPr>
        <w:t xml:space="preserve"> </w:t>
      </w:r>
      <w:proofErr w:type="spellStart"/>
      <w:r w:rsidRPr="00BF483D">
        <w:rPr>
          <w:rFonts w:ascii="Times New Roman" w:hAnsi="Times New Roman"/>
          <w:sz w:val="24"/>
          <w:szCs w:val="24"/>
        </w:rPr>
        <w:t>i</w:t>
      </w:r>
      <w:proofErr w:type="spellEnd"/>
      <w:r w:rsidRPr="00BF483D">
        <w:rPr>
          <w:rFonts w:ascii="Times New Roman" w:hAnsi="Times New Roman"/>
          <w:sz w:val="24"/>
          <w:szCs w:val="24"/>
        </w:rPr>
        <w:t xml:space="preserve"> </w:t>
      </w:r>
      <w:proofErr w:type="spellStart"/>
      <w:r w:rsidRPr="00BF483D">
        <w:rPr>
          <w:rFonts w:ascii="Times New Roman" w:hAnsi="Times New Roman"/>
          <w:sz w:val="24"/>
          <w:szCs w:val="24"/>
        </w:rPr>
        <w:t>investicijskih</w:t>
      </w:r>
      <w:proofErr w:type="spellEnd"/>
      <w:r w:rsidRPr="00BF483D">
        <w:rPr>
          <w:rFonts w:ascii="Times New Roman" w:hAnsi="Times New Roman"/>
          <w:sz w:val="24"/>
          <w:szCs w:val="24"/>
        </w:rPr>
        <w:t xml:space="preserve"> </w:t>
      </w:r>
      <w:proofErr w:type="spellStart"/>
      <w:r w:rsidRPr="00BF483D">
        <w:rPr>
          <w:rFonts w:ascii="Times New Roman" w:hAnsi="Times New Roman"/>
          <w:sz w:val="24"/>
          <w:szCs w:val="24"/>
        </w:rPr>
        <w:t>fondova</w:t>
      </w:r>
      <w:proofErr w:type="spellEnd"/>
      <w:r w:rsidRPr="00BF483D">
        <w:rPr>
          <w:rFonts w:ascii="Times New Roman" w:hAnsi="Times New Roman"/>
          <w:sz w:val="24"/>
          <w:szCs w:val="24"/>
        </w:rPr>
        <w:t xml:space="preserve"> </w:t>
      </w:r>
      <w:proofErr w:type="spellStart"/>
      <w:r w:rsidRPr="00BF483D">
        <w:rPr>
          <w:rFonts w:ascii="Times New Roman" w:hAnsi="Times New Roman"/>
          <w:sz w:val="24"/>
          <w:szCs w:val="24"/>
        </w:rPr>
        <w:t>za</w:t>
      </w:r>
      <w:proofErr w:type="spellEnd"/>
      <w:r w:rsidRPr="00BF483D">
        <w:rPr>
          <w:rFonts w:ascii="Times New Roman" w:hAnsi="Times New Roman"/>
          <w:sz w:val="24"/>
          <w:szCs w:val="24"/>
        </w:rPr>
        <w:t xml:space="preserve"> </w:t>
      </w:r>
      <w:proofErr w:type="spellStart"/>
      <w:r w:rsidRPr="00BF483D">
        <w:rPr>
          <w:rFonts w:ascii="Times New Roman" w:hAnsi="Times New Roman"/>
          <w:sz w:val="24"/>
          <w:szCs w:val="24"/>
        </w:rPr>
        <w:t>rast</w:t>
      </w:r>
      <w:proofErr w:type="spellEnd"/>
      <w:r w:rsidRPr="00BF483D">
        <w:rPr>
          <w:rFonts w:ascii="Times New Roman" w:hAnsi="Times New Roman"/>
          <w:sz w:val="24"/>
          <w:szCs w:val="24"/>
        </w:rPr>
        <w:t xml:space="preserve"> </w:t>
      </w:r>
      <w:proofErr w:type="spellStart"/>
      <w:r w:rsidRPr="00BF483D">
        <w:rPr>
          <w:rFonts w:ascii="Times New Roman" w:hAnsi="Times New Roman"/>
          <w:sz w:val="24"/>
          <w:szCs w:val="24"/>
        </w:rPr>
        <w:t>i</w:t>
      </w:r>
      <w:proofErr w:type="spellEnd"/>
      <w:r w:rsidRPr="00BF483D">
        <w:rPr>
          <w:rFonts w:ascii="Times New Roman" w:hAnsi="Times New Roman"/>
          <w:sz w:val="24"/>
          <w:szCs w:val="24"/>
        </w:rPr>
        <w:t xml:space="preserve"> </w:t>
      </w:r>
      <w:proofErr w:type="spellStart"/>
      <w:r w:rsidRPr="00BF483D">
        <w:rPr>
          <w:rFonts w:ascii="Times New Roman" w:hAnsi="Times New Roman"/>
          <w:sz w:val="24"/>
          <w:szCs w:val="24"/>
        </w:rPr>
        <w:t>radna</w:t>
      </w:r>
      <w:proofErr w:type="spellEnd"/>
      <w:r w:rsidRPr="00BF483D">
        <w:rPr>
          <w:rFonts w:ascii="Times New Roman" w:hAnsi="Times New Roman"/>
          <w:sz w:val="24"/>
          <w:szCs w:val="24"/>
        </w:rPr>
        <w:t xml:space="preserve"> </w:t>
      </w:r>
      <w:proofErr w:type="spellStart"/>
      <w:r w:rsidRPr="00BF483D">
        <w:rPr>
          <w:rFonts w:ascii="Times New Roman" w:hAnsi="Times New Roman"/>
          <w:sz w:val="24"/>
          <w:szCs w:val="24"/>
        </w:rPr>
        <w:t>mjesta</w:t>
      </w:r>
      <w:proofErr w:type="spellEnd"/>
      <w:r w:rsidRPr="00BF483D">
        <w:rPr>
          <w:rFonts w:ascii="Times New Roman" w:hAnsi="Times New Roman"/>
          <w:sz w:val="24"/>
          <w:szCs w:val="24"/>
        </w:rPr>
        <w:t xml:space="preserve"> u </w:t>
      </w:r>
      <w:proofErr w:type="spellStart"/>
      <w:r w:rsidRPr="00BF483D">
        <w:rPr>
          <w:rFonts w:ascii="Times New Roman" w:hAnsi="Times New Roman"/>
          <w:sz w:val="24"/>
          <w:szCs w:val="24"/>
        </w:rPr>
        <w:t>razdoblju</w:t>
      </w:r>
      <w:proofErr w:type="spellEnd"/>
      <w:r w:rsidRPr="00BF483D">
        <w:rPr>
          <w:rFonts w:ascii="Times New Roman" w:hAnsi="Times New Roman"/>
          <w:sz w:val="24"/>
          <w:szCs w:val="24"/>
        </w:rPr>
        <w:t xml:space="preserve"> 2014.-2020., (</w:t>
      </w:r>
      <w:proofErr w:type="spellStart"/>
      <w:r w:rsidRPr="00BF483D">
        <w:rPr>
          <w:rFonts w:ascii="Times New Roman" w:hAnsi="Times New Roman"/>
          <w:sz w:val="24"/>
          <w:szCs w:val="24"/>
        </w:rPr>
        <w:t>listopad</w:t>
      </w:r>
      <w:proofErr w:type="spellEnd"/>
      <w:r w:rsidRPr="00BF483D">
        <w:rPr>
          <w:rFonts w:ascii="Times New Roman" w:hAnsi="Times New Roman"/>
          <w:sz w:val="24"/>
          <w:szCs w:val="24"/>
        </w:rPr>
        <w:t xml:space="preserve"> 2014.) </w:t>
      </w:r>
    </w:p>
    <w:p w14:paraId="46AD048B" w14:textId="3BC198FF" w:rsidR="007E33B2" w:rsidRPr="007C5A43" w:rsidRDefault="007E33B2" w:rsidP="00B177B7">
      <w:pPr>
        <w:pStyle w:val="NormalWeb"/>
        <w:numPr>
          <w:ilvl w:val="0"/>
          <w:numId w:val="18"/>
        </w:numPr>
        <w:spacing w:before="0" w:beforeAutospacing="0" w:after="0" w:afterAutospacing="0" w:line="276" w:lineRule="auto"/>
        <w:jc w:val="both"/>
        <w:rPr>
          <w:rFonts w:ascii="Times New Roman" w:hAnsi="Times New Roman"/>
          <w:sz w:val="24"/>
          <w:szCs w:val="24"/>
        </w:rPr>
      </w:pPr>
      <w:r w:rsidRPr="00BF483D">
        <w:rPr>
          <w:rFonts w:ascii="Times New Roman" w:hAnsi="Times New Roman"/>
          <w:sz w:val="24"/>
          <w:szCs w:val="24"/>
        </w:rPr>
        <w:t xml:space="preserve">Plan </w:t>
      </w:r>
      <w:proofErr w:type="spellStart"/>
      <w:r w:rsidRPr="00BF483D">
        <w:rPr>
          <w:rFonts w:ascii="Times New Roman" w:hAnsi="Times New Roman"/>
          <w:sz w:val="24"/>
          <w:szCs w:val="24"/>
        </w:rPr>
        <w:t>razvoja</w:t>
      </w:r>
      <w:proofErr w:type="spellEnd"/>
      <w:r w:rsidRPr="00BF483D">
        <w:rPr>
          <w:rFonts w:ascii="Times New Roman" w:hAnsi="Times New Roman"/>
          <w:sz w:val="24"/>
          <w:szCs w:val="24"/>
        </w:rPr>
        <w:t xml:space="preserve"> </w:t>
      </w:r>
      <w:proofErr w:type="spellStart"/>
      <w:r w:rsidRPr="00BF483D">
        <w:rPr>
          <w:rFonts w:ascii="Times New Roman" w:hAnsi="Times New Roman"/>
          <w:sz w:val="24"/>
          <w:szCs w:val="24"/>
        </w:rPr>
        <w:t>istraživačke</w:t>
      </w:r>
      <w:proofErr w:type="spellEnd"/>
      <w:r w:rsidRPr="00BF483D">
        <w:rPr>
          <w:rFonts w:ascii="Times New Roman" w:hAnsi="Times New Roman"/>
          <w:sz w:val="24"/>
          <w:szCs w:val="24"/>
        </w:rPr>
        <w:t xml:space="preserve"> </w:t>
      </w:r>
      <w:proofErr w:type="spellStart"/>
      <w:r w:rsidRPr="00BF483D">
        <w:rPr>
          <w:rFonts w:ascii="Times New Roman" w:hAnsi="Times New Roman"/>
          <w:sz w:val="24"/>
          <w:szCs w:val="24"/>
        </w:rPr>
        <w:t>i</w:t>
      </w:r>
      <w:proofErr w:type="spellEnd"/>
      <w:r w:rsidRPr="00BF483D">
        <w:rPr>
          <w:rFonts w:ascii="Times New Roman" w:hAnsi="Times New Roman"/>
          <w:sz w:val="24"/>
          <w:szCs w:val="24"/>
        </w:rPr>
        <w:t xml:space="preserve"> </w:t>
      </w:r>
      <w:proofErr w:type="spellStart"/>
      <w:r w:rsidRPr="00BF483D">
        <w:rPr>
          <w:rFonts w:ascii="Times New Roman" w:hAnsi="Times New Roman"/>
          <w:sz w:val="24"/>
          <w:szCs w:val="24"/>
        </w:rPr>
        <w:t>inovacijske</w:t>
      </w:r>
      <w:proofErr w:type="spellEnd"/>
      <w:r w:rsidRPr="00BF483D">
        <w:rPr>
          <w:rFonts w:ascii="Times New Roman" w:hAnsi="Times New Roman"/>
          <w:sz w:val="24"/>
          <w:szCs w:val="24"/>
        </w:rPr>
        <w:t xml:space="preserve"> </w:t>
      </w:r>
      <w:proofErr w:type="spellStart"/>
      <w:r w:rsidRPr="00BF483D">
        <w:rPr>
          <w:rFonts w:ascii="Times New Roman" w:hAnsi="Times New Roman"/>
          <w:sz w:val="24"/>
          <w:szCs w:val="24"/>
        </w:rPr>
        <w:t>infrastrukture</w:t>
      </w:r>
      <w:proofErr w:type="spellEnd"/>
      <w:r w:rsidRPr="00BF483D">
        <w:rPr>
          <w:rFonts w:ascii="Times New Roman" w:hAnsi="Times New Roman"/>
          <w:sz w:val="24"/>
          <w:szCs w:val="24"/>
        </w:rPr>
        <w:t xml:space="preserve"> u </w:t>
      </w:r>
      <w:proofErr w:type="spellStart"/>
      <w:r w:rsidRPr="00BF483D">
        <w:rPr>
          <w:rFonts w:ascii="Times New Roman" w:hAnsi="Times New Roman"/>
          <w:sz w:val="24"/>
          <w:szCs w:val="24"/>
        </w:rPr>
        <w:t>Republici</w:t>
      </w:r>
      <w:proofErr w:type="spellEnd"/>
      <w:r w:rsidRPr="00BF483D">
        <w:rPr>
          <w:rFonts w:ascii="Times New Roman" w:hAnsi="Times New Roman"/>
          <w:sz w:val="24"/>
          <w:szCs w:val="24"/>
        </w:rPr>
        <w:t xml:space="preserve"> </w:t>
      </w:r>
      <w:proofErr w:type="spellStart"/>
      <w:r w:rsidRPr="00BF483D">
        <w:rPr>
          <w:rFonts w:ascii="Times New Roman" w:hAnsi="Times New Roman"/>
          <w:sz w:val="24"/>
          <w:szCs w:val="24"/>
        </w:rPr>
        <w:t>Hrvatskoj</w:t>
      </w:r>
      <w:proofErr w:type="spellEnd"/>
      <w:r w:rsidRPr="00BF483D">
        <w:rPr>
          <w:rFonts w:ascii="Times New Roman" w:hAnsi="Times New Roman"/>
          <w:sz w:val="24"/>
          <w:szCs w:val="24"/>
        </w:rPr>
        <w:t xml:space="preserve">, (01. </w:t>
      </w:r>
      <w:proofErr w:type="spellStart"/>
      <w:r w:rsidRPr="00BF483D">
        <w:rPr>
          <w:rFonts w:ascii="Times New Roman" w:hAnsi="Times New Roman"/>
          <w:sz w:val="24"/>
          <w:szCs w:val="24"/>
        </w:rPr>
        <w:t>travanj</w:t>
      </w:r>
      <w:proofErr w:type="spellEnd"/>
      <w:r w:rsidRPr="00BF483D">
        <w:rPr>
          <w:rFonts w:ascii="Times New Roman" w:hAnsi="Times New Roman"/>
          <w:sz w:val="24"/>
          <w:szCs w:val="24"/>
        </w:rPr>
        <w:t xml:space="preserve"> 2014.)</w:t>
      </w:r>
      <w:r w:rsidR="00B177B7" w:rsidRPr="007C5A43">
        <w:rPr>
          <w:rFonts w:ascii="Times New Roman" w:hAnsi="Times New Roman"/>
          <w:sz w:val="24"/>
          <w:szCs w:val="24"/>
        </w:rPr>
        <w:t xml:space="preserve"> </w:t>
      </w:r>
    </w:p>
    <w:p w14:paraId="76943178" w14:textId="77777777" w:rsidR="007E33B2" w:rsidRPr="00BF483D" w:rsidRDefault="007E33B2" w:rsidP="00B177B7">
      <w:pPr>
        <w:pStyle w:val="NormalWeb"/>
        <w:numPr>
          <w:ilvl w:val="0"/>
          <w:numId w:val="18"/>
        </w:numPr>
        <w:spacing w:before="0" w:beforeAutospacing="0" w:after="0" w:afterAutospacing="0" w:line="276" w:lineRule="auto"/>
        <w:jc w:val="both"/>
        <w:rPr>
          <w:rFonts w:ascii="Times New Roman" w:hAnsi="Times New Roman"/>
          <w:sz w:val="24"/>
          <w:szCs w:val="24"/>
        </w:rPr>
      </w:pPr>
      <w:proofErr w:type="spellStart"/>
      <w:r w:rsidRPr="00BF483D">
        <w:rPr>
          <w:rFonts w:ascii="Times New Roman" w:hAnsi="Times New Roman"/>
          <w:sz w:val="24"/>
          <w:szCs w:val="24"/>
        </w:rPr>
        <w:t>Strategija</w:t>
      </w:r>
      <w:proofErr w:type="spellEnd"/>
      <w:r w:rsidRPr="00BF483D">
        <w:rPr>
          <w:rFonts w:ascii="Times New Roman" w:hAnsi="Times New Roman"/>
          <w:sz w:val="24"/>
          <w:szCs w:val="24"/>
        </w:rPr>
        <w:t xml:space="preserve"> </w:t>
      </w:r>
      <w:proofErr w:type="spellStart"/>
      <w:r w:rsidRPr="00BF483D">
        <w:rPr>
          <w:rFonts w:ascii="Times New Roman" w:hAnsi="Times New Roman"/>
          <w:sz w:val="24"/>
          <w:szCs w:val="24"/>
        </w:rPr>
        <w:t>poticanja</w:t>
      </w:r>
      <w:proofErr w:type="spellEnd"/>
      <w:r w:rsidRPr="00BF483D">
        <w:rPr>
          <w:rFonts w:ascii="Times New Roman" w:hAnsi="Times New Roman"/>
          <w:sz w:val="24"/>
          <w:szCs w:val="24"/>
        </w:rPr>
        <w:t xml:space="preserve"> </w:t>
      </w:r>
      <w:proofErr w:type="spellStart"/>
      <w:r w:rsidRPr="00BF483D">
        <w:rPr>
          <w:rFonts w:ascii="Times New Roman" w:hAnsi="Times New Roman"/>
          <w:sz w:val="24"/>
          <w:szCs w:val="24"/>
        </w:rPr>
        <w:t>inovacija</w:t>
      </w:r>
      <w:proofErr w:type="spellEnd"/>
      <w:r w:rsidRPr="00BF483D">
        <w:rPr>
          <w:rFonts w:ascii="Times New Roman" w:hAnsi="Times New Roman"/>
          <w:sz w:val="24"/>
          <w:szCs w:val="24"/>
        </w:rPr>
        <w:t xml:space="preserve"> </w:t>
      </w:r>
      <w:proofErr w:type="spellStart"/>
      <w:r w:rsidRPr="00BF483D">
        <w:rPr>
          <w:rFonts w:ascii="Times New Roman" w:hAnsi="Times New Roman"/>
          <w:sz w:val="24"/>
          <w:szCs w:val="24"/>
        </w:rPr>
        <w:t>Republike</w:t>
      </w:r>
      <w:proofErr w:type="spellEnd"/>
      <w:r w:rsidRPr="00BF483D">
        <w:rPr>
          <w:rFonts w:ascii="Times New Roman" w:hAnsi="Times New Roman"/>
          <w:sz w:val="24"/>
          <w:szCs w:val="24"/>
        </w:rPr>
        <w:t xml:space="preserve"> </w:t>
      </w:r>
      <w:proofErr w:type="spellStart"/>
      <w:r w:rsidRPr="00BF483D">
        <w:rPr>
          <w:rFonts w:ascii="Times New Roman" w:hAnsi="Times New Roman"/>
          <w:sz w:val="24"/>
          <w:szCs w:val="24"/>
        </w:rPr>
        <w:t>Hrvatske</w:t>
      </w:r>
      <w:proofErr w:type="spellEnd"/>
      <w:r w:rsidRPr="00BF483D">
        <w:rPr>
          <w:rFonts w:ascii="Times New Roman" w:hAnsi="Times New Roman"/>
          <w:sz w:val="24"/>
          <w:szCs w:val="24"/>
        </w:rPr>
        <w:t xml:space="preserve"> 2014.-2020., (17. </w:t>
      </w:r>
      <w:proofErr w:type="spellStart"/>
      <w:r w:rsidRPr="00BF483D">
        <w:rPr>
          <w:rFonts w:ascii="Times New Roman" w:hAnsi="Times New Roman"/>
          <w:sz w:val="24"/>
          <w:szCs w:val="24"/>
        </w:rPr>
        <w:t>prosinac</w:t>
      </w:r>
      <w:proofErr w:type="spellEnd"/>
      <w:r w:rsidRPr="00BF483D">
        <w:rPr>
          <w:rFonts w:ascii="Times New Roman" w:hAnsi="Times New Roman"/>
          <w:sz w:val="24"/>
          <w:szCs w:val="24"/>
        </w:rPr>
        <w:t xml:space="preserve"> 2014.)</w:t>
      </w:r>
    </w:p>
    <w:p w14:paraId="3ADBB1B9" w14:textId="77777777" w:rsidR="007E33B2" w:rsidRPr="00BF483D" w:rsidRDefault="007E33B2" w:rsidP="00B177B7">
      <w:pPr>
        <w:pStyle w:val="NormalWeb"/>
        <w:numPr>
          <w:ilvl w:val="0"/>
          <w:numId w:val="18"/>
        </w:numPr>
        <w:spacing w:before="0" w:beforeAutospacing="0" w:after="0" w:afterAutospacing="0" w:line="276" w:lineRule="auto"/>
        <w:jc w:val="both"/>
        <w:rPr>
          <w:rFonts w:ascii="Times New Roman" w:hAnsi="Times New Roman"/>
          <w:sz w:val="24"/>
          <w:szCs w:val="24"/>
        </w:rPr>
      </w:pPr>
      <w:r w:rsidRPr="00B177B7">
        <w:rPr>
          <w:rFonts w:ascii="Times New Roman" w:hAnsi="Times New Roman"/>
          <w:sz w:val="24"/>
          <w:szCs w:val="24"/>
        </w:rPr>
        <w:t xml:space="preserve">Erasmus </w:t>
      </w:r>
      <w:proofErr w:type="spellStart"/>
      <w:r w:rsidRPr="00B177B7">
        <w:rPr>
          <w:rFonts w:ascii="Times New Roman" w:hAnsi="Times New Roman"/>
          <w:sz w:val="24"/>
          <w:szCs w:val="24"/>
        </w:rPr>
        <w:t>međuinstitucijski</w:t>
      </w:r>
      <w:proofErr w:type="spellEnd"/>
      <w:r w:rsidRPr="00B177B7">
        <w:rPr>
          <w:rFonts w:ascii="Times New Roman" w:hAnsi="Times New Roman"/>
          <w:sz w:val="24"/>
          <w:szCs w:val="24"/>
        </w:rPr>
        <w:t xml:space="preserve"> </w:t>
      </w:r>
      <w:proofErr w:type="spellStart"/>
      <w:r w:rsidRPr="00B177B7">
        <w:rPr>
          <w:rFonts w:ascii="Times New Roman" w:hAnsi="Times New Roman"/>
          <w:sz w:val="24"/>
          <w:szCs w:val="24"/>
        </w:rPr>
        <w:t>sporazumi</w:t>
      </w:r>
      <w:proofErr w:type="spellEnd"/>
    </w:p>
    <w:p w14:paraId="3831DFC3" w14:textId="2470D228" w:rsidR="007E33B2" w:rsidRDefault="007E33B2" w:rsidP="007E33B2">
      <w:pPr>
        <w:pStyle w:val="ListParagraph"/>
        <w:jc w:val="both"/>
        <w:rPr>
          <w:i/>
        </w:rPr>
      </w:pPr>
    </w:p>
    <w:tbl>
      <w:tblPr>
        <w:tblStyle w:val="TableGrid"/>
        <w:tblW w:w="0" w:type="auto"/>
        <w:tblLook w:val="04A0" w:firstRow="1" w:lastRow="0" w:firstColumn="1" w:lastColumn="0" w:noHBand="0" w:noVBand="1"/>
      </w:tblPr>
      <w:tblGrid>
        <w:gridCol w:w="1773"/>
        <w:gridCol w:w="1239"/>
        <w:gridCol w:w="1240"/>
        <w:gridCol w:w="1217"/>
        <w:gridCol w:w="1201"/>
        <w:gridCol w:w="1186"/>
        <w:gridCol w:w="1206"/>
      </w:tblGrid>
      <w:tr w:rsidR="003116AB" w:rsidRPr="009D005B" w14:paraId="743AF4CE" w14:textId="77777777" w:rsidTr="0079091F">
        <w:tc>
          <w:tcPr>
            <w:tcW w:w="1773" w:type="dxa"/>
            <w:shd w:val="clear" w:color="auto" w:fill="D0CECE" w:themeFill="background2" w:themeFillShade="E6"/>
          </w:tcPr>
          <w:p w14:paraId="6C61FD53" w14:textId="77777777" w:rsidR="00771FFB" w:rsidRPr="009D005B" w:rsidRDefault="00771FFB" w:rsidP="00771FFB">
            <w:pPr>
              <w:jc w:val="both"/>
            </w:pPr>
          </w:p>
          <w:p w14:paraId="06404FEB" w14:textId="77777777" w:rsidR="00771FFB" w:rsidRPr="009D005B" w:rsidRDefault="00771FFB" w:rsidP="00771FFB">
            <w:pPr>
              <w:jc w:val="both"/>
            </w:pPr>
          </w:p>
        </w:tc>
        <w:tc>
          <w:tcPr>
            <w:tcW w:w="1239" w:type="dxa"/>
            <w:shd w:val="clear" w:color="auto" w:fill="D0CECE" w:themeFill="background2" w:themeFillShade="E6"/>
            <w:vAlign w:val="center"/>
          </w:tcPr>
          <w:p w14:paraId="6C469A19" w14:textId="22AEE139" w:rsidR="00771FFB" w:rsidRPr="009D005B" w:rsidRDefault="00771FFB" w:rsidP="00771FFB">
            <w:pPr>
              <w:jc w:val="center"/>
            </w:pPr>
            <w:r>
              <w:t>Izvršenje 2021</w:t>
            </w:r>
            <w:r w:rsidRPr="009D005B">
              <w:t>.</w:t>
            </w:r>
          </w:p>
        </w:tc>
        <w:tc>
          <w:tcPr>
            <w:tcW w:w="1240" w:type="dxa"/>
            <w:shd w:val="clear" w:color="auto" w:fill="D0CECE" w:themeFill="background2" w:themeFillShade="E6"/>
            <w:vAlign w:val="center"/>
          </w:tcPr>
          <w:p w14:paraId="6B92A5F8" w14:textId="7C8932FA" w:rsidR="00771FFB" w:rsidRPr="009D005B" w:rsidRDefault="00771FFB" w:rsidP="00771FFB">
            <w:pPr>
              <w:jc w:val="center"/>
            </w:pPr>
            <w:r w:rsidRPr="009D005B">
              <w:t>Plan 20</w:t>
            </w:r>
            <w:r>
              <w:t>22</w:t>
            </w:r>
            <w:r w:rsidRPr="009D005B">
              <w:t>.</w:t>
            </w:r>
          </w:p>
        </w:tc>
        <w:tc>
          <w:tcPr>
            <w:tcW w:w="1217" w:type="dxa"/>
            <w:shd w:val="clear" w:color="auto" w:fill="D0CECE" w:themeFill="background2" w:themeFillShade="E6"/>
            <w:vAlign w:val="center"/>
          </w:tcPr>
          <w:p w14:paraId="73F602B7" w14:textId="3E55FA61" w:rsidR="00771FFB" w:rsidRPr="009D005B" w:rsidRDefault="00771FFB" w:rsidP="00771FFB">
            <w:pPr>
              <w:jc w:val="center"/>
            </w:pPr>
            <w:r w:rsidRPr="009D005B">
              <w:t>Plan 202</w:t>
            </w:r>
            <w:r>
              <w:t>3</w:t>
            </w:r>
            <w:r w:rsidRPr="009D005B">
              <w:t>.</w:t>
            </w:r>
          </w:p>
        </w:tc>
        <w:tc>
          <w:tcPr>
            <w:tcW w:w="1201" w:type="dxa"/>
            <w:shd w:val="clear" w:color="auto" w:fill="D0CECE" w:themeFill="background2" w:themeFillShade="E6"/>
            <w:vAlign w:val="center"/>
          </w:tcPr>
          <w:p w14:paraId="3FD32EC6" w14:textId="29165CB2" w:rsidR="00771FFB" w:rsidRPr="009D005B" w:rsidRDefault="00771FFB" w:rsidP="00771FFB">
            <w:pPr>
              <w:jc w:val="center"/>
            </w:pPr>
            <w:r w:rsidRPr="009D005B">
              <w:t>Plan 202</w:t>
            </w:r>
            <w:r>
              <w:t>4</w:t>
            </w:r>
            <w:r w:rsidRPr="009D005B">
              <w:t>.</w:t>
            </w:r>
          </w:p>
        </w:tc>
        <w:tc>
          <w:tcPr>
            <w:tcW w:w="1186" w:type="dxa"/>
            <w:shd w:val="clear" w:color="auto" w:fill="D0CECE" w:themeFill="background2" w:themeFillShade="E6"/>
            <w:vAlign w:val="center"/>
          </w:tcPr>
          <w:p w14:paraId="23B64B5B" w14:textId="422C29A6" w:rsidR="00771FFB" w:rsidRPr="009D005B" w:rsidRDefault="00771FFB" w:rsidP="00771FFB">
            <w:pPr>
              <w:jc w:val="center"/>
            </w:pPr>
            <w:r w:rsidRPr="009D005B">
              <w:t>Plan 202</w:t>
            </w:r>
            <w:r>
              <w:t>5</w:t>
            </w:r>
            <w:r w:rsidRPr="009D005B">
              <w:t>.</w:t>
            </w:r>
          </w:p>
        </w:tc>
        <w:tc>
          <w:tcPr>
            <w:tcW w:w="1206" w:type="dxa"/>
            <w:shd w:val="clear" w:color="auto" w:fill="D0CECE" w:themeFill="background2" w:themeFillShade="E6"/>
            <w:vAlign w:val="center"/>
          </w:tcPr>
          <w:p w14:paraId="2375AB57" w14:textId="3913F167" w:rsidR="00771FFB" w:rsidRPr="009D005B" w:rsidRDefault="00771FFB" w:rsidP="00771FFB">
            <w:pPr>
              <w:jc w:val="center"/>
            </w:pPr>
            <w:r w:rsidRPr="009D005B">
              <w:t>Indeks 2</w:t>
            </w:r>
            <w:r>
              <w:t>3</w:t>
            </w:r>
            <w:r w:rsidRPr="009D005B">
              <w:t>./</w:t>
            </w:r>
            <w:r>
              <w:t>22.</w:t>
            </w:r>
          </w:p>
        </w:tc>
      </w:tr>
      <w:tr w:rsidR="003116AB" w:rsidRPr="009D005B" w14:paraId="22A48AAE" w14:textId="77777777" w:rsidTr="0079091F">
        <w:tc>
          <w:tcPr>
            <w:tcW w:w="1773" w:type="dxa"/>
          </w:tcPr>
          <w:p w14:paraId="4FF65A48" w14:textId="1CB37A85" w:rsidR="00771FFB" w:rsidRDefault="00771FFB" w:rsidP="00771FFB">
            <w:r>
              <w:t>A67907</w:t>
            </w:r>
            <w:r w:rsidR="003116AB">
              <w:t>3</w:t>
            </w:r>
          </w:p>
          <w:p w14:paraId="38F252ED" w14:textId="59B6FC20" w:rsidR="00771FFB" w:rsidRPr="009D005B" w:rsidRDefault="00771FFB" w:rsidP="00771FFB">
            <w:r>
              <w:t xml:space="preserve">EU projekti Sveučilišta u </w:t>
            </w:r>
            <w:r w:rsidR="00BC0935">
              <w:t>Dubrovniku</w:t>
            </w:r>
            <w:r>
              <w:t xml:space="preserve"> (iz evidencijskih prihoda)</w:t>
            </w:r>
          </w:p>
        </w:tc>
        <w:tc>
          <w:tcPr>
            <w:tcW w:w="1239" w:type="dxa"/>
            <w:shd w:val="clear" w:color="auto" w:fill="auto"/>
          </w:tcPr>
          <w:p w14:paraId="43640E9C" w14:textId="0C673CDD" w:rsidR="00771FFB" w:rsidRPr="0037720D" w:rsidRDefault="00920529" w:rsidP="00771FFB">
            <w:pPr>
              <w:jc w:val="center"/>
            </w:pPr>
            <w:r>
              <w:t>785</w:t>
            </w:r>
            <w:r w:rsidR="0075168F">
              <w:t>.025</w:t>
            </w:r>
          </w:p>
        </w:tc>
        <w:tc>
          <w:tcPr>
            <w:tcW w:w="1240" w:type="dxa"/>
          </w:tcPr>
          <w:p w14:paraId="70915F92" w14:textId="6A0212CA" w:rsidR="00771FFB" w:rsidRPr="0037720D" w:rsidRDefault="003116AB" w:rsidP="003116AB">
            <w:pPr>
              <w:jc w:val="center"/>
            </w:pPr>
            <w:r>
              <w:t>917</w:t>
            </w:r>
            <w:r w:rsidR="003E437F">
              <w:t>.</w:t>
            </w:r>
            <w:r>
              <w:t>000</w:t>
            </w:r>
          </w:p>
        </w:tc>
        <w:tc>
          <w:tcPr>
            <w:tcW w:w="1217" w:type="dxa"/>
          </w:tcPr>
          <w:p w14:paraId="140C4945" w14:textId="621CC386" w:rsidR="00771FFB" w:rsidRPr="0037720D" w:rsidRDefault="003116AB" w:rsidP="003116AB">
            <w:pPr>
              <w:jc w:val="center"/>
            </w:pPr>
            <w:r>
              <w:t>1.786.715</w:t>
            </w:r>
          </w:p>
        </w:tc>
        <w:tc>
          <w:tcPr>
            <w:tcW w:w="1201" w:type="dxa"/>
          </w:tcPr>
          <w:p w14:paraId="36639ED4" w14:textId="388056A8" w:rsidR="00771FFB" w:rsidRPr="00490782" w:rsidRDefault="003116AB" w:rsidP="003116AB">
            <w:pPr>
              <w:jc w:val="center"/>
            </w:pPr>
            <w:r>
              <w:t>224.846</w:t>
            </w:r>
          </w:p>
        </w:tc>
        <w:tc>
          <w:tcPr>
            <w:tcW w:w="1186" w:type="dxa"/>
          </w:tcPr>
          <w:p w14:paraId="26D0FECA" w14:textId="143D6736" w:rsidR="00771FFB" w:rsidRPr="00490782" w:rsidRDefault="003116AB" w:rsidP="003116AB">
            <w:pPr>
              <w:jc w:val="center"/>
            </w:pPr>
            <w:r>
              <w:t>0</w:t>
            </w:r>
          </w:p>
        </w:tc>
        <w:tc>
          <w:tcPr>
            <w:tcW w:w="1206" w:type="dxa"/>
          </w:tcPr>
          <w:p w14:paraId="3ACB41B5" w14:textId="06FB6E8B" w:rsidR="00771FFB" w:rsidRPr="0037720D" w:rsidRDefault="00891C32" w:rsidP="003116AB">
            <w:pPr>
              <w:jc w:val="center"/>
            </w:pPr>
            <w:r>
              <w:t>1</w:t>
            </w:r>
            <w:r w:rsidR="003116AB">
              <w:t>95</w:t>
            </w:r>
          </w:p>
        </w:tc>
      </w:tr>
    </w:tbl>
    <w:p w14:paraId="1D690B75" w14:textId="77777777" w:rsidR="007E33B2" w:rsidRDefault="007E33B2" w:rsidP="007E33B2">
      <w:pPr>
        <w:jc w:val="both"/>
        <w:rPr>
          <w:i/>
        </w:rPr>
      </w:pPr>
    </w:p>
    <w:p w14:paraId="10C192AD" w14:textId="77777777" w:rsidR="00003FC0" w:rsidRPr="005250B7" w:rsidRDefault="00003FC0" w:rsidP="005250B7">
      <w:pPr>
        <w:jc w:val="both"/>
        <w:rPr>
          <w:i/>
        </w:rPr>
      </w:pPr>
    </w:p>
    <w:p w14:paraId="25E8B2C2" w14:textId="7F36C450" w:rsidR="007E33B2" w:rsidRDefault="007E33B2" w:rsidP="007E33B2">
      <w:pPr>
        <w:jc w:val="both"/>
      </w:pPr>
    </w:p>
    <w:sectPr w:rsidR="007E33B2">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333910" w14:textId="77777777" w:rsidR="00AF735B" w:rsidRDefault="00AF735B">
      <w:r>
        <w:separator/>
      </w:r>
    </w:p>
  </w:endnote>
  <w:endnote w:type="continuationSeparator" w:id="0">
    <w:p w14:paraId="638FF9C0" w14:textId="77777777" w:rsidR="00AF735B" w:rsidRDefault="00AF73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YInterstate Light">
    <w:altName w:val="Franklin Gothic Medium Cond"/>
    <w:charset w:val="EE"/>
    <w:family w:val="auto"/>
    <w:pitch w:val="variable"/>
    <w:sig w:usb0="00000001" w:usb1="5000206A" w:usb2="00000000" w:usb3="00000000" w:csb0="0000009F" w:csb1="00000000"/>
  </w:font>
  <w:font w:name="Calibri">
    <w:panose1 w:val="020F0502020204030204"/>
    <w:charset w:val="EE"/>
    <w:family w:val="swiss"/>
    <w:pitch w:val="variable"/>
    <w:sig w:usb0="E10002FF" w:usb1="4000ACFF" w:usb2="00000009" w:usb3="00000000" w:csb0="0000019F" w:csb1="00000000"/>
  </w:font>
  <w:font w:name="Times">
    <w:altName w:val="﷽﷽﷽﷽﷽﷽﷽﷽"/>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AFF" w:usb1="C0007843" w:usb2="00000009" w:usb3="00000000" w:csb0="000001FF" w:csb1="00000000"/>
  </w:font>
  <w:font w:name="Times New Roman (Body CS)">
    <w:charset w:val="00"/>
    <w:family w:val="roman"/>
    <w:pitch w:val="default"/>
  </w:font>
  <w:font w:name="Calibri Light">
    <w:altName w:val="Arial"/>
    <w:charset w:val="EE"/>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5515545"/>
      <w:docPartObj>
        <w:docPartGallery w:val="Page Numbers (Bottom of Page)"/>
        <w:docPartUnique/>
      </w:docPartObj>
    </w:sdtPr>
    <w:sdtEndPr/>
    <w:sdtContent>
      <w:p w14:paraId="08224F62" w14:textId="33D0643B" w:rsidR="00387F10" w:rsidRDefault="00387F10">
        <w:pPr>
          <w:pStyle w:val="Footer"/>
          <w:jc w:val="right"/>
        </w:pPr>
        <w:r>
          <w:fldChar w:fldCharType="begin"/>
        </w:r>
        <w:r>
          <w:instrText>PAGE   \* MERGEFORMAT</w:instrText>
        </w:r>
        <w:r>
          <w:fldChar w:fldCharType="separate"/>
        </w:r>
        <w:r w:rsidR="006D4C22">
          <w:rPr>
            <w:noProof/>
          </w:rPr>
          <w:t>8</w:t>
        </w:r>
        <w:r>
          <w:fldChar w:fldCharType="end"/>
        </w:r>
      </w:p>
    </w:sdtContent>
  </w:sdt>
  <w:p w14:paraId="274C18C7" w14:textId="77777777" w:rsidR="00387F10" w:rsidRDefault="00387F1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D0197E" w14:textId="77777777" w:rsidR="00AF735B" w:rsidRDefault="00AF735B">
      <w:r>
        <w:separator/>
      </w:r>
    </w:p>
  </w:footnote>
  <w:footnote w:type="continuationSeparator" w:id="0">
    <w:p w14:paraId="45A23B97" w14:textId="77777777" w:rsidR="00AF735B" w:rsidRDefault="00AF735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51CE6"/>
    <w:multiLevelType w:val="hybridMultilevel"/>
    <w:tmpl w:val="E39457B4"/>
    <w:lvl w:ilvl="0" w:tplc="041A0001">
      <w:start w:val="1"/>
      <w:numFmt w:val="bullet"/>
      <w:lvlText w:val=""/>
      <w:lvlJc w:val="left"/>
      <w:pPr>
        <w:ind w:left="1080" w:hanging="360"/>
      </w:pPr>
      <w:rPr>
        <w:rFonts w:ascii="Symbol" w:hAnsi="Symbol" w:hint="default"/>
      </w:rPr>
    </w:lvl>
    <w:lvl w:ilvl="1" w:tplc="041A0003">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
    <w:nsid w:val="07347BFF"/>
    <w:multiLevelType w:val="hybridMultilevel"/>
    <w:tmpl w:val="FD262D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8531B1B"/>
    <w:multiLevelType w:val="hybridMultilevel"/>
    <w:tmpl w:val="0144DA08"/>
    <w:lvl w:ilvl="0" w:tplc="72BC165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nsid w:val="0EB91007"/>
    <w:multiLevelType w:val="multilevel"/>
    <w:tmpl w:val="2C10BBF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
    <w:nsid w:val="0FA73651"/>
    <w:multiLevelType w:val="hybridMultilevel"/>
    <w:tmpl w:val="2BBE645E"/>
    <w:lvl w:ilvl="0" w:tplc="041A0001">
      <w:start w:val="1"/>
      <w:numFmt w:val="bullet"/>
      <w:lvlText w:val=""/>
      <w:lvlJc w:val="left"/>
      <w:pPr>
        <w:ind w:left="720" w:hanging="360"/>
      </w:pPr>
      <w:rPr>
        <w:rFonts w:ascii="Symbol" w:hAnsi="Symbol" w:hint="default"/>
      </w:rPr>
    </w:lvl>
    <w:lvl w:ilvl="1" w:tplc="041A0001">
      <w:start w:val="1"/>
      <w:numFmt w:val="bullet"/>
      <w:lvlText w:val=""/>
      <w:lvlJc w:val="left"/>
      <w:pPr>
        <w:ind w:left="1440" w:hanging="360"/>
      </w:pPr>
      <w:rPr>
        <w:rFonts w:ascii="Symbol" w:hAnsi="Symbol" w:hint="default"/>
      </w:rPr>
    </w:lvl>
    <w:lvl w:ilvl="2" w:tplc="041A0005">
      <w:start w:val="1"/>
      <w:numFmt w:val="bullet"/>
      <w:lvlText w:val=""/>
      <w:lvlJc w:val="left"/>
      <w:pPr>
        <w:ind w:left="2160" w:hanging="360"/>
      </w:pPr>
      <w:rPr>
        <w:rFonts w:ascii="Wingdings" w:hAnsi="Wingdings" w:hint="default"/>
      </w:rPr>
    </w:lvl>
    <w:lvl w:ilvl="3" w:tplc="223CC1D2">
      <w:start w:val="1"/>
      <w:numFmt w:val="bullet"/>
      <w:lvlText w:val="•"/>
      <w:lvlJc w:val="left"/>
      <w:pPr>
        <w:ind w:left="2880" w:hanging="360"/>
      </w:pPr>
      <w:rPr>
        <w:rFonts w:ascii="EYInterstate Light" w:hAnsi="EYInterstate Light"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nsid w:val="1BCE5D75"/>
    <w:multiLevelType w:val="hybridMultilevel"/>
    <w:tmpl w:val="474A6E02"/>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nsid w:val="30405138"/>
    <w:multiLevelType w:val="hybridMultilevel"/>
    <w:tmpl w:val="465E17B2"/>
    <w:lvl w:ilvl="0" w:tplc="CA8AA484">
      <w:start w:val="4"/>
      <w:numFmt w:val="bullet"/>
      <w:lvlText w:val="-"/>
      <w:lvlJc w:val="left"/>
      <w:pPr>
        <w:ind w:left="1494" w:hanging="360"/>
      </w:pPr>
      <w:rPr>
        <w:rFonts w:ascii="Times New Roman" w:eastAsiaTheme="minorHAnsi" w:hAnsi="Times New Roman" w:cs="Times New Roman" w:hint="default"/>
      </w:rPr>
    </w:lvl>
    <w:lvl w:ilvl="1" w:tplc="041A0003">
      <w:start w:val="1"/>
      <w:numFmt w:val="bullet"/>
      <w:lvlText w:val="o"/>
      <w:lvlJc w:val="left"/>
      <w:pPr>
        <w:ind w:left="2214" w:hanging="360"/>
      </w:pPr>
      <w:rPr>
        <w:rFonts w:ascii="Courier New" w:hAnsi="Courier New" w:cs="Courier New" w:hint="default"/>
      </w:rPr>
    </w:lvl>
    <w:lvl w:ilvl="2" w:tplc="041A0005" w:tentative="1">
      <w:start w:val="1"/>
      <w:numFmt w:val="bullet"/>
      <w:lvlText w:val=""/>
      <w:lvlJc w:val="left"/>
      <w:pPr>
        <w:ind w:left="2934" w:hanging="360"/>
      </w:pPr>
      <w:rPr>
        <w:rFonts w:ascii="Wingdings" w:hAnsi="Wingdings" w:hint="default"/>
      </w:rPr>
    </w:lvl>
    <w:lvl w:ilvl="3" w:tplc="041A0001" w:tentative="1">
      <w:start w:val="1"/>
      <w:numFmt w:val="bullet"/>
      <w:lvlText w:val=""/>
      <w:lvlJc w:val="left"/>
      <w:pPr>
        <w:ind w:left="3654" w:hanging="360"/>
      </w:pPr>
      <w:rPr>
        <w:rFonts w:ascii="Symbol" w:hAnsi="Symbol" w:hint="default"/>
      </w:rPr>
    </w:lvl>
    <w:lvl w:ilvl="4" w:tplc="041A0003" w:tentative="1">
      <w:start w:val="1"/>
      <w:numFmt w:val="bullet"/>
      <w:lvlText w:val="o"/>
      <w:lvlJc w:val="left"/>
      <w:pPr>
        <w:ind w:left="4374" w:hanging="360"/>
      </w:pPr>
      <w:rPr>
        <w:rFonts w:ascii="Courier New" w:hAnsi="Courier New" w:cs="Courier New" w:hint="default"/>
      </w:rPr>
    </w:lvl>
    <w:lvl w:ilvl="5" w:tplc="041A0005" w:tentative="1">
      <w:start w:val="1"/>
      <w:numFmt w:val="bullet"/>
      <w:lvlText w:val=""/>
      <w:lvlJc w:val="left"/>
      <w:pPr>
        <w:ind w:left="5094" w:hanging="360"/>
      </w:pPr>
      <w:rPr>
        <w:rFonts w:ascii="Wingdings" w:hAnsi="Wingdings" w:hint="default"/>
      </w:rPr>
    </w:lvl>
    <w:lvl w:ilvl="6" w:tplc="041A0001" w:tentative="1">
      <w:start w:val="1"/>
      <w:numFmt w:val="bullet"/>
      <w:lvlText w:val=""/>
      <w:lvlJc w:val="left"/>
      <w:pPr>
        <w:ind w:left="5814" w:hanging="360"/>
      </w:pPr>
      <w:rPr>
        <w:rFonts w:ascii="Symbol" w:hAnsi="Symbol" w:hint="default"/>
      </w:rPr>
    </w:lvl>
    <w:lvl w:ilvl="7" w:tplc="041A0003" w:tentative="1">
      <w:start w:val="1"/>
      <w:numFmt w:val="bullet"/>
      <w:lvlText w:val="o"/>
      <w:lvlJc w:val="left"/>
      <w:pPr>
        <w:ind w:left="6534" w:hanging="360"/>
      </w:pPr>
      <w:rPr>
        <w:rFonts w:ascii="Courier New" w:hAnsi="Courier New" w:cs="Courier New" w:hint="default"/>
      </w:rPr>
    </w:lvl>
    <w:lvl w:ilvl="8" w:tplc="041A0005" w:tentative="1">
      <w:start w:val="1"/>
      <w:numFmt w:val="bullet"/>
      <w:lvlText w:val=""/>
      <w:lvlJc w:val="left"/>
      <w:pPr>
        <w:ind w:left="7254" w:hanging="360"/>
      </w:pPr>
      <w:rPr>
        <w:rFonts w:ascii="Wingdings" w:hAnsi="Wingdings" w:hint="default"/>
      </w:rPr>
    </w:lvl>
  </w:abstractNum>
  <w:abstractNum w:abstractNumId="7">
    <w:nsid w:val="31EE247A"/>
    <w:multiLevelType w:val="hybridMultilevel"/>
    <w:tmpl w:val="6046B2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3AFB7E7F"/>
    <w:multiLevelType w:val="hybridMultilevel"/>
    <w:tmpl w:val="8B64DB62"/>
    <w:lvl w:ilvl="0" w:tplc="D30C03D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nsid w:val="46D17C7E"/>
    <w:multiLevelType w:val="hybridMultilevel"/>
    <w:tmpl w:val="6046F10C"/>
    <w:lvl w:ilvl="0" w:tplc="4C1EA71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nsid w:val="4EFC56CC"/>
    <w:multiLevelType w:val="hybridMultilevel"/>
    <w:tmpl w:val="14C2CF4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nsid w:val="4F1D549C"/>
    <w:multiLevelType w:val="hybridMultilevel"/>
    <w:tmpl w:val="146844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18119BB"/>
    <w:multiLevelType w:val="hybridMultilevel"/>
    <w:tmpl w:val="9D5C7A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D815DFF"/>
    <w:multiLevelType w:val="multilevel"/>
    <w:tmpl w:val="9CC0ED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2F52C16"/>
    <w:multiLevelType w:val="hybridMultilevel"/>
    <w:tmpl w:val="E87C946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nsid w:val="64E025D1"/>
    <w:multiLevelType w:val="hybridMultilevel"/>
    <w:tmpl w:val="AA8E8F0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nsid w:val="680D7C36"/>
    <w:multiLevelType w:val="multilevel"/>
    <w:tmpl w:val="FF169A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nsid w:val="702207E4"/>
    <w:multiLevelType w:val="hybridMultilevel"/>
    <w:tmpl w:val="30FEEB2E"/>
    <w:lvl w:ilvl="0" w:tplc="8F04EEE4">
      <w:start w:val="1"/>
      <w:numFmt w:val="decimal"/>
      <w:lvlText w:val="%1."/>
      <w:lvlJc w:val="left"/>
      <w:pPr>
        <w:ind w:left="862" w:hanging="360"/>
      </w:pPr>
      <w:rPr>
        <w:rFonts w:hint="default"/>
      </w:r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18">
    <w:nsid w:val="706514E6"/>
    <w:multiLevelType w:val="hybridMultilevel"/>
    <w:tmpl w:val="E4C26C7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nsid w:val="7E6122EF"/>
    <w:multiLevelType w:val="hybridMultilevel"/>
    <w:tmpl w:val="C854E526"/>
    <w:lvl w:ilvl="0" w:tplc="041A0019">
      <w:start w:val="1"/>
      <w:numFmt w:val="lowerLetter"/>
      <w:lvlText w:val="%1."/>
      <w:lvlJc w:val="left"/>
      <w:pPr>
        <w:ind w:left="780" w:hanging="4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0"/>
  </w:num>
  <w:num w:numId="2">
    <w:abstractNumId w:val="18"/>
  </w:num>
  <w:num w:numId="3">
    <w:abstractNumId w:val="5"/>
  </w:num>
  <w:num w:numId="4">
    <w:abstractNumId w:val="15"/>
  </w:num>
  <w:num w:numId="5">
    <w:abstractNumId w:val="3"/>
  </w:num>
  <w:num w:numId="6">
    <w:abstractNumId w:val="4"/>
  </w:num>
  <w:num w:numId="7">
    <w:abstractNumId w:val="13"/>
  </w:num>
  <w:num w:numId="8">
    <w:abstractNumId w:val="0"/>
  </w:num>
  <w:num w:numId="9">
    <w:abstractNumId w:val="19"/>
  </w:num>
  <w:num w:numId="10">
    <w:abstractNumId w:val="9"/>
  </w:num>
  <w:num w:numId="11">
    <w:abstractNumId w:val="12"/>
  </w:num>
  <w:num w:numId="12">
    <w:abstractNumId w:val="2"/>
  </w:num>
  <w:num w:numId="13">
    <w:abstractNumId w:val="17"/>
  </w:num>
  <w:num w:numId="14">
    <w:abstractNumId w:val="1"/>
  </w:num>
  <w:num w:numId="15">
    <w:abstractNumId w:val="8"/>
  </w:num>
  <w:num w:numId="16">
    <w:abstractNumId w:val="11"/>
  </w:num>
  <w:num w:numId="17">
    <w:abstractNumId w:val="7"/>
  </w:num>
  <w:num w:numId="18">
    <w:abstractNumId w:val="6"/>
  </w:num>
  <w:num w:numId="19">
    <w:abstractNumId w:val="14"/>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05CF"/>
    <w:rsid w:val="00003FC0"/>
    <w:rsid w:val="00006A77"/>
    <w:rsid w:val="00013AE5"/>
    <w:rsid w:val="00023E1D"/>
    <w:rsid w:val="00026443"/>
    <w:rsid w:val="000330AC"/>
    <w:rsid w:val="0003315A"/>
    <w:rsid w:val="00043E7F"/>
    <w:rsid w:val="00045798"/>
    <w:rsid w:val="00045970"/>
    <w:rsid w:val="00051334"/>
    <w:rsid w:val="000667F8"/>
    <w:rsid w:val="00067BF5"/>
    <w:rsid w:val="00070ACE"/>
    <w:rsid w:val="00076194"/>
    <w:rsid w:val="00077EFE"/>
    <w:rsid w:val="000A021E"/>
    <w:rsid w:val="000C2FBC"/>
    <w:rsid w:val="000C7476"/>
    <w:rsid w:val="000D52D6"/>
    <w:rsid w:val="000D6D25"/>
    <w:rsid w:val="000F0F88"/>
    <w:rsid w:val="000F0FD3"/>
    <w:rsid w:val="001001D1"/>
    <w:rsid w:val="00106128"/>
    <w:rsid w:val="001266B7"/>
    <w:rsid w:val="001301BD"/>
    <w:rsid w:val="00131B25"/>
    <w:rsid w:val="00143B68"/>
    <w:rsid w:val="00146E4F"/>
    <w:rsid w:val="00151DE0"/>
    <w:rsid w:val="00155799"/>
    <w:rsid w:val="00170E8C"/>
    <w:rsid w:val="00171EB7"/>
    <w:rsid w:val="00172253"/>
    <w:rsid w:val="00180D0F"/>
    <w:rsid w:val="00190034"/>
    <w:rsid w:val="001A1F19"/>
    <w:rsid w:val="001A283C"/>
    <w:rsid w:val="001A6512"/>
    <w:rsid w:val="001B0F7A"/>
    <w:rsid w:val="001B29EC"/>
    <w:rsid w:val="001C6323"/>
    <w:rsid w:val="001C76E5"/>
    <w:rsid w:val="001D7F07"/>
    <w:rsid w:val="0020438B"/>
    <w:rsid w:val="00220BF7"/>
    <w:rsid w:val="00225A8A"/>
    <w:rsid w:val="00227D81"/>
    <w:rsid w:val="00236B00"/>
    <w:rsid w:val="00241B6A"/>
    <w:rsid w:val="00255FB2"/>
    <w:rsid w:val="002579AE"/>
    <w:rsid w:val="0026307B"/>
    <w:rsid w:val="00274910"/>
    <w:rsid w:val="00274DA2"/>
    <w:rsid w:val="00280F85"/>
    <w:rsid w:val="002847B1"/>
    <w:rsid w:val="0028774B"/>
    <w:rsid w:val="002B0064"/>
    <w:rsid w:val="002B785A"/>
    <w:rsid w:val="002C7121"/>
    <w:rsid w:val="002D1CD4"/>
    <w:rsid w:val="002D444E"/>
    <w:rsid w:val="002D494D"/>
    <w:rsid w:val="002D5F10"/>
    <w:rsid w:val="002E7831"/>
    <w:rsid w:val="002F377B"/>
    <w:rsid w:val="00306900"/>
    <w:rsid w:val="003116AB"/>
    <w:rsid w:val="003239CD"/>
    <w:rsid w:val="00324025"/>
    <w:rsid w:val="0036134E"/>
    <w:rsid w:val="00362133"/>
    <w:rsid w:val="00364086"/>
    <w:rsid w:val="00367C03"/>
    <w:rsid w:val="00370306"/>
    <w:rsid w:val="0037720D"/>
    <w:rsid w:val="00380EC0"/>
    <w:rsid w:val="00387F10"/>
    <w:rsid w:val="003B2CF0"/>
    <w:rsid w:val="003B64C1"/>
    <w:rsid w:val="003C418E"/>
    <w:rsid w:val="003E41AE"/>
    <w:rsid w:val="003E437F"/>
    <w:rsid w:val="003E7437"/>
    <w:rsid w:val="003E7923"/>
    <w:rsid w:val="003F2B51"/>
    <w:rsid w:val="003F7BC0"/>
    <w:rsid w:val="004234EC"/>
    <w:rsid w:val="004308F8"/>
    <w:rsid w:val="004426CF"/>
    <w:rsid w:val="00445B23"/>
    <w:rsid w:val="0045015F"/>
    <w:rsid w:val="00457A4D"/>
    <w:rsid w:val="00460051"/>
    <w:rsid w:val="004624D3"/>
    <w:rsid w:val="00471FDB"/>
    <w:rsid w:val="00482C87"/>
    <w:rsid w:val="004830EC"/>
    <w:rsid w:val="00490782"/>
    <w:rsid w:val="00491592"/>
    <w:rsid w:val="00491BDE"/>
    <w:rsid w:val="004A3BDD"/>
    <w:rsid w:val="004B2CB9"/>
    <w:rsid w:val="004B7A31"/>
    <w:rsid w:val="004C3A59"/>
    <w:rsid w:val="004D75AF"/>
    <w:rsid w:val="004E02C5"/>
    <w:rsid w:val="004E45E7"/>
    <w:rsid w:val="00502D6C"/>
    <w:rsid w:val="00516E07"/>
    <w:rsid w:val="005250B7"/>
    <w:rsid w:val="005312DB"/>
    <w:rsid w:val="00545E7B"/>
    <w:rsid w:val="00547116"/>
    <w:rsid w:val="0056043D"/>
    <w:rsid w:val="00571F77"/>
    <w:rsid w:val="00585281"/>
    <w:rsid w:val="005942D5"/>
    <w:rsid w:val="00594DBB"/>
    <w:rsid w:val="005A063C"/>
    <w:rsid w:val="005A25E7"/>
    <w:rsid w:val="005A77E1"/>
    <w:rsid w:val="005B0F4D"/>
    <w:rsid w:val="005C1A30"/>
    <w:rsid w:val="005D64E7"/>
    <w:rsid w:val="005E2C15"/>
    <w:rsid w:val="005F60A3"/>
    <w:rsid w:val="005F6650"/>
    <w:rsid w:val="006001F4"/>
    <w:rsid w:val="00606337"/>
    <w:rsid w:val="00626896"/>
    <w:rsid w:val="00634617"/>
    <w:rsid w:val="00645872"/>
    <w:rsid w:val="006521CA"/>
    <w:rsid w:val="00657B73"/>
    <w:rsid w:val="00670C2E"/>
    <w:rsid w:val="00675A84"/>
    <w:rsid w:val="0067608F"/>
    <w:rsid w:val="0069359C"/>
    <w:rsid w:val="006A1066"/>
    <w:rsid w:val="006C3D72"/>
    <w:rsid w:val="006D4C22"/>
    <w:rsid w:val="006E0C0D"/>
    <w:rsid w:val="006E6D1A"/>
    <w:rsid w:val="00703212"/>
    <w:rsid w:val="0070462F"/>
    <w:rsid w:val="00713301"/>
    <w:rsid w:val="00715253"/>
    <w:rsid w:val="0072384C"/>
    <w:rsid w:val="0073021D"/>
    <w:rsid w:val="00731E3B"/>
    <w:rsid w:val="00737EEC"/>
    <w:rsid w:val="00746C8B"/>
    <w:rsid w:val="0075168F"/>
    <w:rsid w:val="007703A8"/>
    <w:rsid w:val="00771647"/>
    <w:rsid w:val="00771FFB"/>
    <w:rsid w:val="00776390"/>
    <w:rsid w:val="007769E7"/>
    <w:rsid w:val="0078389C"/>
    <w:rsid w:val="0079091F"/>
    <w:rsid w:val="00792F27"/>
    <w:rsid w:val="0079703C"/>
    <w:rsid w:val="007978D3"/>
    <w:rsid w:val="00797D12"/>
    <w:rsid w:val="007A3E1E"/>
    <w:rsid w:val="007A482D"/>
    <w:rsid w:val="007B3CA2"/>
    <w:rsid w:val="007D4980"/>
    <w:rsid w:val="007D7BDE"/>
    <w:rsid w:val="007E33B2"/>
    <w:rsid w:val="007E54AC"/>
    <w:rsid w:val="007E70F1"/>
    <w:rsid w:val="007F2DA1"/>
    <w:rsid w:val="007F58F2"/>
    <w:rsid w:val="008017C8"/>
    <w:rsid w:val="00801E7B"/>
    <w:rsid w:val="00810045"/>
    <w:rsid w:val="0081052D"/>
    <w:rsid w:val="00811D62"/>
    <w:rsid w:val="00812B7F"/>
    <w:rsid w:val="008202C4"/>
    <w:rsid w:val="00821005"/>
    <w:rsid w:val="008223B8"/>
    <w:rsid w:val="00837879"/>
    <w:rsid w:val="00846E65"/>
    <w:rsid w:val="00860859"/>
    <w:rsid w:val="00861CCD"/>
    <w:rsid w:val="008750BD"/>
    <w:rsid w:val="00880571"/>
    <w:rsid w:val="008818C4"/>
    <w:rsid w:val="00881DC7"/>
    <w:rsid w:val="00882E6E"/>
    <w:rsid w:val="00887925"/>
    <w:rsid w:val="00891C15"/>
    <w:rsid w:val="00891C32"/>
    <w:rsid w:val="008928D0"/>
    <w:rsid w:val="00893697"/>
    <w:rsid w:val="008A3158"/>
    <w:rsid w:val="008C12C7"/>
    <w:rsid w:val="008D649E"/>
    <w:rsid w:val="008E155C"/>
    <w:rsid w:val="008E3117"/>
    <w:rsid w:val="008E5F24"/>
    <w:rsid w:val="00920529"/>
    <w:rsid w:val="00920F78"/>
    <w:rsid w:val="00930ADA"/>
    <w:rsid w:val="00935D2B"/>
    <w:rsid w:val="009422A1"/>
    <w:rsid w:val="00944C25"/>
    <w:rsid w:val="0094546E"/>
    <w:rsid w:val="00953A7E"/>
    <w:rsid w:val="00954371"/>
    <w:rsid w:val="00960F22"/>
    <w:rsid w:val="00967C08"/>
    <w:rsid w:val="00982FDE"/>
    <w:rsid w:val="009A331F"/>
    <w:rsid w:val="009A65A8"/>
    <w:rsid w:val="009C27E7"/>
    <w:rsid w:val="009C4DD8"/>
    <w:rsid w:val="009C67A3"/>
    <w:rsid w:val="009D1474"/>
    <w:rsid w:val="009D1DF0"/>
    <w:rsid w:val="009D1E4A"/>
    <w:rsid w:val="009E1A7C"/>
    <w:rsid w:val="009E2203"/>
    <w:rsid w:val="009E2A83"/>
    <w:rsid w:val="009E6DC8"/>
    <w:rsid w:val="009F3FB7"/>
    <w:rsid w:val="00A0556D"/>
    <w:rsid w:val="00A2500A"/>
    <w:rsid w:val="00A332F5"/>
    <w:rsid w:val="00A40249"/>
    <w:rsid w:val="00A4485A"/>
    <w:rsid w:val="00A45D8E"/>
    <w:rsid w:val="00A54910"/>
    <w:rsid w:val="00A710B0"/>
    <w:rsid w:val="00A83F23"/>
    <w:rsid w:val="00A87D7B"/>
    <w:rsid w:val="00A92EEA"/>
    <w:rsid w:val="00AA3200"/>
    <w:rsid w:val="00AB5C46"/>
    <w:rsid w:val="00AC1F88"/>
    <w:rsid w:val="00AC58DA"/>
    <w:rsid w:val="00AD148D"/>
    <w:rsid w:val="00AE6AAC"/>
    <w:rsid w:val="00AF20BA"/>
    <w:rsid w:val="00AF32E1"/>
    <w:rsid w:val="00AF735B"/>
    <w:rsid w:val="00B177B7"/>
    <w:rsid w:val="00B256DB"/>
    <w:rsid w:val="00B264D1"/>
    <w:rsid w:val="00B27A9A"/>
    <w:rsid w:val="00B3069B"/>
    <w:rsid w:val="00B31535"/>
    <w:rsid w:val="00B317C7"/>
    <w:rsid w:val="00B43445"/>
    <w:rsid w:val="00B43F7F"/>
    <w:rsid w:val="00B4413C"/>
    <w:rsid w:val="00B45127"/>
    <w:rsid w:val="00B51793"/>
    <w:rsid w:val="00B564E3"/>
    <w:rsid w:val="00B71DFF"/>
    <w:rsid w:val="00B7598C"/>
    <w:rsid w:val="00B83F12"/>
    <w:rsid w:val="00B8480E"/>
    <w:rsid w:val="00BA02FD"/>
    <w:rsid w:val="00BB47B9"/>
    <w:rsid w:val="00BC0935"/>
    <w:rsid w:val="00BC2AF2"/>
    <w:rsid w:val="00BC7079"/>
    <w:rsid w:val="00BD4DEB"/>
    <w:rsid w:val="00BD7FDD"/>
    <w:rsid w:val="00BE2C27"/>
    <w:rsid w:val="00BE741E"/>
    <w:rsid w:val="00BF50B1"/>
    <w:rsid w:val="00C07DD8"/>
    <w:rsid w:val="00C25356"/>
    <w:rsid w:val="00C35DF3"/>
    <w:rsid w:val="00C41FE8"/>
    <w:rsid w:val="00C5114D"/>
    <w:rsid w:val="00C51C46"/>
    <w:rsid w:val="00C53D67"/>
    <w:rsid w:val="00C54B88"/>
    <w:rsid w:val="00C6169A"/>
    <w:rsid w:val="00C70BDB"/>
    <w:rsid w:val="00C73478"/>
    <w:rsid w:val="00C82588"/>
    <w:rsid w:val="00C83B9C"/>
    <w:rsid w:val="00C84559"/>
    <w:rsid w:val="00C92CD8"/>
    <w:rsid w:val="00C97A9D"/>
    <w:rsid w:val="00CA3369"/>
    <w:rsid w:val="00CB21EC"/>
    <w:rsid w:val="00CB251E"/>
    <w:rsid w:val="00CB3DDE"/>
    <w:rsid w:val="00CB764D"/>
    <w:rsid w:val="00CC465A"/>
    <w:rsid w:val="00CD0421"/>
    <w:rsid w:val="00CD3809"/>
    <w:rsid w:val="00CE204C"/>
    <w:rsid w:val="00CE4907"/>
    <w:rsid w:val="00CF0E04"/>
    <w:rsid w:val="00CF4DD2"/>
    <w:rsid w:val="00CF5FBD"/>
    <w:rsid w:val="00D04B44"/>
    <w:rsid w:val="00D32AAB"/>
    <w:rsid w:val="00D374D7"/>
    <w:rsid w:val="00D425F1"/>
    <w:rsid w:val="00D4423C"/>
    <w:rsid w:val="00D50F40"/>
    <w:rsid w:val="00D60643"/>
    <w:rsid w:val="00D90DA7"/>
    <w:rsid w:val="00DA2032"/>
    <w:rsid w:val="00DA40BC"/>
    <w:rsid w:val="00DA54BD"/>
    <w:rsid w:val="00DA7AFE"/>
    <w:rsid w:val="00DB20F2"/>
    <w:rsid w:val="00DB7043"/>
    <w:rsid w:val="00DE7EE5"/>
    <w:rsid w:val="00E10E9D"/>
    <w:rsid w:val="00E15810"/>
    <w:rsid w:val="00E32762"/>
    <w:rsid w:val="00E34F8C"/>
    <w:rsid w:val="00E40E9C"/>
    <w:rsid w:val="00E47E64"/>
    <w:rsid w:val="00E52935"/>
    <w:rsid w:val="00E551C4"/>
    <w:rsid w:val="00E631A9"/>
    <w:rsid w:val="00E65D86"/>
    <w:rsid w:val="00E94982"/>
    <w:rsid w:val="00E96FE6"/>
    <w:rsid w:val="00EB0770"/>
    <w:rsid w:val="00EB077E"/>
    <w:rsid w:val="00EC5282"/>
    <w:rsid w:val="00EE4435"/>
    <w:rsid w:val="00EF05CF"/>
    <w:rsid w:val="00EF1EA0"/>
    <w:rsid w:val="00F00957"/>
    <w:rsid w:val="00F02505"/>
    <w:rsid w:val="00F10D05"/>
    <w:rsid w:val="00F12286"/>
    <w:rsid w:val="00F46A68"/>
    <w:rsid w:val="00F748B2"/>
    <w:rsid w:val="00F80198"/>
    <w:rsid w:val="00F802AA"/>
    <w:rsid w:val="00F815A6"/>
    <w:rsid w:val="00F92422"/>
    <w:rsid w:val="00F96AE2"/>
    <w:rsid w:val="00FA220D"/>
    <w:rsid w:val="00FB24BA"/>
    <w:rsid w:val="00FB533D"/>
    <w:rsid w:val="00FD41A7"/>
    <w:rsid w:val="00FD53A5"/>
    <w:rsid w:val="00FE6534"/>
    <w:rsid w:val="00FF4A3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72A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5798"/>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nhideWhenUsed/>
    <w:rsid w:val="00EF05CF"/>
    <w:pPr>
      <w:tabs>
        <w:tab w:val="center" w:pos="4536"/>
        <w:tab w:val="right" w:pos="9072"/>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rsid w:val="00EF05CF"/>
  </w:style>
  <w:style w:type="table" w:styleId="TableGrid">
    <w:name w:val="Table Grid"/>
    <w:basedOn w:val="TableNormal"/>
    <w:uiPriority w:val="39"/>
    <w:rsid w:val="00EF05C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Bullet point,List Paragraph1"/>
    <w:basedOn w:val="Normal"/>
    <w:link w:val="ListParagraphChar"/>
    <w:uiPriority w:val="34"/>
    <w:qFormat/>
    <w:rsid w:val="00EF05CF"/>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ListParagraphChar">
    <w:name w:val="List Paragraph Char"/>
    <w:aliases w:val="Bullet point Char,List Paragraph1 Char"/>
    <w:link w:val="ListParagraph"/>
    <w:uiPriority w:val="34"/>
    <w:locked/>
    <w:rsid w:val="00C51C46"/>
  </w:style>
  <w:style w:type="paragraph" w:styleId="NormalWeb">
    <w:name w:val="Normal (Web)"/>
    <w:basedOn w:val="Normal"/>
    <w:uiPriority w:val="99"/>
    <w:unhideWhenUsed/>
    <w:rsid w:val="00C51C46"/>
    <w:pPr>
      <w:spacing w:before="100" w:beforeAutospacing="1" w:after="100" w:afterAutospacing="1"/>
    </w:pPr>
    <w:rPr>
      <w:rFonts w:ascii="Times" w:eastAsiaTheme="minorHAnsi" w:hAnsi="Times"/>
      <w:sz w:val="20"/>
      <w:szCs w:val="20"/>
      <w:lang w:val="en-US" w:eastAsia="en-US"/>
    </w:rPr>
  </w:style>
  <w:style w:type="character" w:styleId="Hyperlink">
    <w:name w:val="Hyperlink"/>
    <w:basedOn w:val="DefaultParagraphFont"/>
    <w:uiPriority w:val="99"/>
    <w:unhideWhenUsed/>
    <w:rsid w:val="00C51C46"/>
    <w:rPr>
      <w:color w:val="0563C1" w:themeColor="hyperlink"/>
      <w:u w:val="single"/>
    </w:rPr>
  </w:style>
  <w:style w:type="character" w:styleId="Strong">
    <w:name w:val="Strong"/>
    <w:basedOn w:val="DefaultParagraphFont"/>
    <w:uiPriority w:val="22"/>
    <w:qFormat/>
    <w:rsid w:val="00C51C46"/>
    <w:rPr>
      <w:b/>
      <w:bCs/>
    </w:rPr>
  </w:style>
  <w:style w:type="paragraph" w:customStyle="1" w:styleId="gmail-msolistparagraph">
    <w:name w:val="gmail-msolistparagraph"/>
    <w:basedOn w:val="Normal"/>
    <w:rsid w:val="002E7831"/>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5798"/>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nhideWhenUsed/>
    <w:rsid w:val="00EF05CF"/>
    <w:pPr>
      <w:tabs>
        <w:tab w:val="center" w:pos="4536"/>
        <w:tab w:val="right" w:pos="9072"/>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rsid w:val="00EF05CF"/>
  </w:style>
  <w:style w:type="table" w:styleId="TableGrid">
    <w:name w:val="Table Grid"/>
    <w:basedOn w:val="TableNormal"/>
    <w:uiPriority w:val="39"/>
    <w:rsid w:val="00EF05C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Bullet point,List Paragraph1"/>
    <w:basedOn w:val="Normal"/>
    <w:link w:val="ListParagraphChar"/>
    <w:uiPriority w:val="34"/>
    <w:qFormat/>
    <w:rsid w:val="00EF05CF"/>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ListParagraphChar">
    <w:name w:val="List Paragraph Char"/>
    <w:aliases w:val="Bullet point Char,List Paragraph1 Char"/>
    <w:link w:val="ListParagraph"/>
    <w:uiPriority w:val="34"/>
    <w:locked/>
    <w:rsid w:val="00C51C46"/>
  </w:style>
  <w:style w:type="paragraph" w:styleId="NormalWeb">
    <w:name w:val="Normal (Web)"/>
    <w:basedOn w:val="Normal"/>
    <w:uiPriority w:val="99"/>
    <w:unhideWhenUsed/>
    <w:rsid w:val="00C51C46"/>
    <w:pPr>
      <w:spacing w:before="100" w:beforeAutospacing="1" w:after="100" w:afterAutospacing="1"/>
    </w:pPr>
    <w:rPr>
      <w:rFonts w:ascii="Times" w:eastAsiaTheme="minorHAnsi" w:hAnsi="Times"/>
      <w:sz w:val="20"/>
      <w:szCs w:val="20"/>
      <w:lang w:val="en-US" w:eastAsia="en-US"/>
    </w:rPr>
  </w:style>
  <w:style w:type="character" w:styleId="Hyperlink">
    <w:name w:val="Hyperlink"/>
    <w:basedOn w:val="DefaultParagraphFont"/>
    <w:uiPriority w:val="99"/>
    <w:unhideWhenUsed/>
    <w:rsid w:val="00C51C46"/>
    <w:rPr>
      <w:color w:val="0563C1" w:themeColor="hyperlink"/>
      <w:u w:val="single"/>
    </w:rPr>
  </w:style>
  <w:style w:type="character" w:styleId="Strong">
    <w:name w:val="Strong"/>
    <w:basedOn w:val="DefaultParagraphFont"/>
    <w:uiPriority w:val="22"/>
    <w:qFormat/>
    <w:rsid w:val="00C51C46"/>
    <w:rPr>
      <w:b/>
      <w:bCs/>
    </w:rPr>
  </w:style>
  <w:style w:type="paragraph" w:customStyle="1" w:styleId="gmail-msolistparagraph">
    <w:name w:val="gmail-msolistparagraph"/>
    <w:basedOn w:val="Normal"/>
    <w:rsid w:val="002E783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928111">
      <w:bodyDiv w:val="1"/>
      <w:marLeft w:val="0"/>
      <w:marRight w:val="0"/>
      <w:marTop w:val="0"/>
      <w:marBottom w:val="0"/>
      <w:divBdr>
        <w:top w:val="none" w:sz="0" w:space="0" w:color="auto"/>
        <w:left w:val="none" w:sz="0" w:space="0" w:color="auto"/>
        <w:bottom w:val="none" w:sz="0" w:space="0" w:color="auto"/>
        <w:right w:val="none" w:sz="0" w:space="0" w:color="auto"/>
      </w:divBdr>
      <w:divsChild>
        <w:div w:id="368144825">
          <w:marLeft w:val="0"/>
          <w:marRight w:val="0"/>
          <w:marTop w:val="0"/>
          <w:marBottom w:val="0"/>
          <w:divBdr>
            <w:top w:val="none" w:sz="0" w:space="0" w:color="auto"/>
            <w:left w:val="none" w:sz="0" w:space="0" w:color="auto"/>
            <w:bottom w:val="none" w:sz="0" w:space="0" w:color="auto"/>
            <w:right w:val="none" w:sz="0" w:space="0" w:color="auto"/>
          </w:divBdr>
        </w:div>
        <w:div w:id="1648703755">
          <w:marLeft w:val="0"/>
          <w:marRight w:val="0"/>
          <w:marTop w:val="0"/>
          <w:marBottom w:val="0"/>
          <w:divBdr>
            <w:top w:val="none" w:sz="0" w:space="0" w:color="auto"/>
            <w:left w:val="none" w:sz="0" w:space="0" w:color="auto"/>
            <w:bottom w:val="none" w:sz="0" w:space="0" w:color="auto"/>
            <w:right w:val="none" w:sz="0" w:space="0" w:color="auto"/>
          </w:divBdr>
        </w:div>
      </w:divsChild>
    </w:div>
    <w:div w:id="317147784">
      <w:bodyDiv w:val="1"/>
      <w:marLeft w:val="0"/>
      <w:marRight w:val="0"/>
      <w:marTop w:val="0"/>
      <w:marBottom w:val="0"/>
      <w:divBdr>
        <w:top w:val="none" w:sz="0" w:space="0" w:color="auto"/>
        <w:left w:val="none" w:sz="0" w:space="0" w:color="auto"/>
        <w:bottom w:val="none" w:sz="0" w:space="0" w:color="auto"/>
        <w:right w:val="none" w:sz="0" w:space="0" w:color="auto"/>
      </w:divBdr>
    </w:div>
    <w:div w:id="386105134">
      <w:bodyDiv w:val="1"/>
      <w:marLeft w:val="0"/>
      <w:marRight w:val="0"/>
      <w:marTop w:val="0"/>
      <w:marBottom w:val="0"/>
      <w:divBdr>
        <w:top w:val="none" w:sz="0" w:space="0" w:color="auto"/>
        <w:left w:val="none" w:sz="0" w:space="0" w:color="auto"/>
        <w:bottom w:val="none" w:sz="0" w:space="0" w:color="auto"/>
        <w:right w:val="none" w:sz="0" w:space="0" w:color="auto"/>
      </w:divBdr>
      <w:divsChild>
        <w:div w:id="634139819">
          <w:marLeft w:val="0"/>
          <w:marRight w:val="0"/>
          <w:marTop w:val="0"/>
          <w:marBottom w:val="0"/>
          <w:divBdr>
            <w:top w:val="none" w:sz="0" w:space="0" w:color="auto"/>
            <w:left w:val="none" w:sz="0" w:space="0" w:color="auto"/>
            <w:bottom w:val="none" w:sz="0" w:space="0" w:color="auto"/>
            <w:right w:val="none" w:sz="0" w:space="0" w:color="auto"/>
          </w:divBdr>
        </w:div>
        <w:div w:id="626786705">
          <w:marLeft w:val="0"/>
          <w:marRight w:val="0"/>
          <w:marTop w:val="0"/>
          <w:marBottom w:val="0"/>
          <w:divBdr>
            <w:top w:val="none" w:sz="0" w:space="0" w:color="auto"/>
            <w:left w:val="none" w:sz="0" w:space="0" w:color="auto"/>
            <w:bottom w:val="none" w:sz="0" w:space="0" w:color="auto"/>
            <w:right w:val="none" w:sz="0" w:space="0" w:color="auto"/>
          </w:divBdr>
        </w:div>
      </w:divsChild>
    </w:div>
    <w:div w:id="402987673">
      <w:bodyDiv w:val="1"/>
      <w:marLeft w:val="0"/>
      <w:marRight w:val="0"/>
      <w:marTop w:val="0"/>
      <w:marBottom w:val="0"/>
      <w:divBdr>
        <w:top w:val="none" w:sz="0" w:space="0" w:color="auto"/>
        <w:left w:val="none" w:sz="0" w:space="0" w:color="auto"/>
        <w:bottom w:val="none" w:sz="0" w:space="0" w:color="auto"/>
        <w:right w:val="none" w:sz="0" w:space="0" w:color="auto"/>
      </w:divBdr>
    </w:div>
    <w:div w:id="511719996">
      <w:bodyDiv w:val="1"/>
      <w:marLeft w:val="0"/>
      <w:marRight w:val="0"/>
      <w:marTop w:val="0"/>
      <w:marBottom w:val="0"/>
      <w:divBdr>
        <w:top w:val="none" w:sz="0" w:space="0" w:color="auto"/>
        <w:left w:val="none" w:sz="0" w:space="0" w:color="auto"/>
        <w:bottom w:val="none" w:sz="0" w:space="0" w:color="auto"/>
        <w:right w:val="none" w:sz="0" w:space="0" w:color="auto"/>
      </w:divBdr>
    </w:div>
    <w:div w:id="755783055">
      <w:bodyDiv w:val="1"/>
      <w:marLeft w:val="0"/>
      <w:marRight w:val="0"/>
      <w:marTop w:val="0"/>
      <w:marBottom w:val="0"/>
      <w:divBdr>
        <w:top w:val="none" w:sz="0" w:space="0" w:color="auto"/>
        <w:left w:val="none" w:sz="0" w:space="0" w:color="auto"/>
        <w:bottom w:val="none" w:sz="0" w:space="0" w:color="auto"/>
        <w:right w:val="none" w:sz="0" w:space="0" w:color="auto"/>
      </w:divBdr>
    </w:div>
    <w:div w:id="788821059">
      <w:bodyDiv w:val="1"/>
      <w:marLeft w:val="0"/>
      <w:marRight w:val="0"/>
      <w:marTop w:val="0"/>
      <w:marBottom w:val="0"/>
      <w:divBdr>
        <w:top w:val="none" w:sz="0" w:space="0" w:color="auto"/>
        <w:left w:val="none" w:sz="0" w:space="0" w:color="auto"/>
        <w:bottom w:val="none" w:sz="0" w:space="0" w:color="auto"/>
        <w:right w:val="none" w:sz="0" w:space="0" w:color="auto"/>
      </w:divBdr>
    </w:div>
    <w:div w:id="1029067352">
      <w:bodyDiv w:val="1"/>
      <w:marLeft w:val="0"/>
      <w:marRight w:val="0"/>
      <w:marTop w:val="0"/>
      <w:marBottom w:val="0"/>
      <w:divBdr>
        <w:top w:val="none" w:sz="0" w:space="0" w:color="auto"/>
        <w:left w:val="none" w:sz="0" w:space="0" w:color="auto"/>
        <w:bottom w:val="none" w:sz="0" w:space="0" w:color="auto"/>
        <w:right w:val="none" w:sz="0" w:space="0" w:color="auto"/>
      </w:divBdr>
    </w:div>
    <w:div w:id="1812945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154</TotalTime>
  <Pages>9</Pages>
  <Words>2886</Words>
  <Characters>16454</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Mirela Zagorac</dc:creator>
  <cp:lastModifiedBy>Korisnik</cp:lastModifiedBy>
  <cp:revision>5</cp:revision>
  <dcterms:created xsi:type="dcterms:W3CDTF">2023-01-27T11:41:00Z</dcterms:created>
  <dcterms:modified xsi:type="dcterms:W3CDTF">2023-01-30T09:30:00Z</dcterms:modified>
</cp:coreProperties>
</file>