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B750" w14:textId="77777777" w:rsidR="00322F9B" w:rsidRPr="00F55713" w:rsidRDefault="00322F9B" w:rsidP="00322F9B">
      <w:pPr>
        <w:pStyle w:val="Heading2"/>
      </w:pPr>
      <w:r w:rsidRPr="00F55713">
        <w:t>Tehnička specifikacija</w:t>
      </w:r>
    </w:p>
    <w:p w14:paraId="33323235" w14:textId="77777777" w:rsidR="00322F9B" w:rsidRPr="00F55713" w:rsidRDefault="00322F9B" w:rsidP="00322F9B">
      <w:pPr>
        <w:pStyle w:val="Heading3"/>
      </w:pPr>
      <w:r w:rsidRPr="00F55713">
        <w:t>UVOD</w:t>
      </w:r>
    </w:p>
    <w:p w14:paraId="27BCF34C" w14:textId="08009D8F" w:rsidR="00322F9B" w:rsidRPr="00F55713" w:rsidRDefault="00322F9B" w:rsidP="00322F9B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</w:pP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Predmet nabave ovog postupka nabave je </w:t>
      </w:r>
      <w:r w:rsidR="007049DB"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isporuka i instalacija </w:t>
      </w:r>
      <w:r w:rsidR="004A3F1B"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simulatora </w:t>
      </w:r>
      <w:r w:rsidR="00F55713" w:rsidRPr="00F55713">
        <w:rPr>
          <w:rFonts w:asciiTheme="minorHAnsi" w:hAnsiTheme="minorHAnsi" w:cstheme="minorHAnsi"/>
          <w:sz w:val="20"/>
          <w:szCs w:val="18"/>
          <w:lang w:val="hr-HR"/>
        </w:rPr>
        <w:t>visokonaponskog</w:t>
      </w:r>
      <w:r w:rsidR="004A3F1B"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 sklopnog bloka 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na lokaciji </w:t>
      </w:r>
      <w:r w:rsidR="004A3F1B" w:rsidRPr="00F55713">
        <w:rPr>
          <w:rFonts w:asciiTheme="minorHAnsi" w:hAnsiTheme="minorHAnsi" w:cstheme="minorHAnsi"/>
          <w:sz w:val="20"/>
          <w:szCs w:val="18"/>
          <w:lang w:val="hr-HR"/>
        </w:rPr>
        <w:t>Pomorskog odjela Sveučilišta u Dubrovniku, Ul. Ćira Carića 4, 20000, Dubrovnik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>.</w:t>
      </w:r>
    </w:p>
    <w:p w14:paraId="0871C758" w14:textId="77777777" w:rsidR="00322F9B" w:rsidRPr="00F55713" w:rsidRDefault="00322F9B" w:rsidP="00322F9B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</w:pPr>
    </w:p>
    <w:p w14:paraId="0FF94035" w14:textId="77777777" w:rsidR="00322F9B" w:rsidRPr="00F55713" w:rsidRDefault="00322F9B" w:rsidP="00322F9B">
      <w:pPr>
        <w:pStyle w:val="Heading4"/>
        <w:rPr>
          <w:lang w:val="hr-HR"/>
        </w:rPr>
      </w:pPr>
      <w:r w:rsidRPr="00F55713">
        <w:rPr>
          <w:lang w:val="hr-HR"/>
        </w:rPr>
        <w:t>OPĆI ZAHTJEVI</w:t>
      </w:r>
    </w:p>
    <w:p w14:paraId="6820DE6F" w14:textId="69CA06DE" w:rsidR="00322F9B" w:rsidRPr="00F55713" w:rsidRDefault="00322F9B" w:rsidP="00322F9B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</w:pP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Troškovnik u prilogu sadrži minimalne tehničke karakteristike </w:t>
      </w:r>
      <w:r w:rsidR="009611B1" w:rsidRPr="00F55713">
        <w:rPr>
          <w:rFonts w:asciiTheme="minorHAnsi" w:hAnsiTheme="minorHAnsi" w:cstheme="minorHAnsi"/>
          <w:sz w:val="20"/>
          <w:szCs w:val="18"/>
          <w:lang w:val="hr-HR"/>
        </w:rPr>
        <w:t>zahtijevane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 od </w:t>
      </w:r>
      <w:r w:rsidR="004A3F1B"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simulatora </w:t>
      </w:r>
      <w:r w:rsidR="00F55713" w:rsidRPr="00F55713">
        <w:rPr>
          <w:rFonts w:asciiTheme="minorHAnsi" w:hAnsiTheme="minorHAnsi" w:cstheme="minorHAnsi"/>
          <w:sz w:val="20"/>
          <w:szCs w:val="18"/>
          <w:lang w:val="hr-HR"/>
        </w:rPr>
        <w:t>visokonaponskog</w:t>
      </w:r>
      <w:r w:rsidR="004A3F1B"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 sklopnog bloka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. Ukoliko to nije </w:t>
      </w:r>
      <w:r w:rsidR="009611B1" w:rsidRPr="00F55713">
        <w:rPr>
          <w:rFonts w:asciiTheme="minorHAnsi" w:hAnsiTheme="minorHAnsi" w:cstheme="minorHAnsi"/>
          <w:sz w:val="20"/>
          <w:szCs w:val="18"/>
          <w:lang w:val="hr-HR"/>
        </w:rPr>
        <w:t>drugačije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 navedeno i opisano u troškovniku mora obuhvaćati sav potreban softver i hardver, rad i potreban </w:t>
      </w:r>
      <w:r w:rsidR="009611B1" w:rsidRPr="00F55713">
        <w:rPr>
          <w:rFonts w:asciiTheme="minorHAnsi" w:hAnsiTheme="minorHAnsi" w:cstheme="minorHAnsi"/>
          <w:sz w:val="20"/>
          <w:szCs w:val="18"/>
          <w:lang w:val="hr-HR"/>
        </w:rPr>
        <w:t>instalacijski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 i potrošni materijal za postavljanje </w:t>
      </w:r>
      <w:r w:rsidR="008E7867"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opreme </w:t>
      </w:r>
      <w:r w:rsidR="009611B1" w:rsidRPr="00F55713">
        <w:rPr>
          <w:rFonts w:asciiTheme="minorHAnsi" w:hAnsiTheme="minorHAnsi" w:cstheme="minorHAnsi"/>
          <w:sz w:val="20"/>
          <w:szCs w:val="18"/>
          <w:lang w:val="hr-HR"/>
        </w:rPr>
        <w:t>simulatora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 u traženu funkcionalnost.</w:t>
      </w:r>
    </w:p>
    <w:p w14:paraId="50023678" w14:textId="77777777" w:rsidR="00322F9B" w:rsidRPr="00F55713" w:rsidRDefault="00322F9B" w:rsidP="00322F9B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</w:pPr>
      <w:r w:rsidRPr="00F55713">
        <w:rPr>
          <w:rFonts w:asciiTheme="minorHAnsi" w:hAnsiTheme="minorHAnsi" w:cstheme="minorHAnsi"/>
          <w:sz w:val="20"/>
          <w:szCs w:val="18"/>
          <w:lang w:val="hr-HR"/>
        </w:rPr>
        <w:t>Svi radovi, moraju se obvezno izvoditi prema važećim zakonima, granskim normama i uzancama, te u skladu sa traženjima i uputama nadzorne osobe Naručitelja.</w:t>
      </w:r>
    </w:p>
    <w:p w14:paraId="07394189" w14:textId="77777777" w:rsidR="00322F9B" w:rsidRPr="00F55713" w:rsidRDefault="00322F9B" w:rsidP="00322F9B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</w:pPr>
    </w:p>
    <w:p w14:paraId="3A93E835" w14:textId="77777777" w:rsidR="00322F9B" w:rsidRPr="00F55713" w:rsidRDefault="00322F9B" w:rsidP="00322F9B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  <w:sectPr w:rsidR="00322F9B" w:rsidRPr="00F55713" w:rsidSect="00322F9B">
          <w:headerReference w:type="default" r:id="rId8"/>
          <w:footerReference w:type="default" r:id="rId9"/>
          <w:pgSz w:w="12240" w:h="15840" w:code="1"/>
          <w:pgMar w:top="1985" w:right="1134" w:bottom="1134" w:left="1701" w:header="567" w:footer="709" w:gutter="0"/>
          <w:cols w:space="708"/>
          <w:docGrid w:linePitch="360"/>
        </w:sectPr>
      </w:pPr>
    </w:p>
    <w:p w14:paraId="4D26F40D" w14:textId="77777777" w:rsidR="00322F9B" w:rsidRPr="00F55713" w:rsidRDefault="00322F9B" w:rsidP="00322F9B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</w:pPr>
    </w:p>
    <w:p w14:paraId="6A6D6805" w14:textId="77777777" w:rsidR="00705B0B" w:rsidRPr="00F55713" w:rsidRDefault="00705B0B" w:rsidP="0002485B">
      <w:pPr>
        <w:pStyle w:val="Heading1"/>
      </w:pPr>
      <w:r w:rsidRPr="00F55713">
        <w:t xml:space="preserve">TEHNIČKA SPECIFIKACIJA </w:t>
      </w:r>
    </w:p>
    <w:p w14:paraId="023C64BB" w14:textId="300BE957" w:rsidR="006C285A" w:rsidRPr="00F55713" w:rsidRDefault="006C285A" w:rsidP="0002485B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</w:pPr>
      <w:r w:rsidRPr="00F55713">
        <w:rPr>
          <w:rFonts w:asciiTheme="minorHAnsi" w:hAnsiTheme="minorHAnsi" w:cstheme="minorHAnsi"/>
          <w:sz w:val="20"/>
          <w:szCs w:val="18"/>
          <w:lang w:val="hr-HR"/>
        </w:rPr>
        <w:t>Tehničke karakteristike (parametri) kako zahtijevani tako i oni koje nudi po</w:t>
      </w:r>
      <w:r w:rsidR="00A761C7" w:rsidRPr="00F55713">
        <w:rPr>
          <w:rFonts w:asciiTheme="minorHAnsi" w:hAnsiTheme="minorHAnsi" w:cstheme="minorHAnsi"/>
          <w:sz w:val="20"/>
          <w:szCs w:val="18"/>
          <w:lang w:val="hr-HR"/>
        </w:rPr>
        <w:t>nuditelj specificirani su u do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>njoj tablici. Sukladno zahtjevu Naručitelja</w:t>
      </w:r>
      <w:r w:rsidR="0000122D" w:rsidRPr="00F55713">
        <w:rPr>
          <w:rFonts w:asciiTheme="minorHAnsi" w:hAnsiTheme="minorHAnsi" w:cstheme="minorHAnsi"/>
          <w:sz w:val="20"/>
          <w:szCs w:val="18"/>
          <w:lang w:val="hr-HR"/>
        </w:rPr>
        <w:t>,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 xml:space="preserve"> </w:t>
      </w:r>
      <w:r w:rsidR="0000122D" w:rsidRPr="00F55713">
        <w:rPr>
          <w:rFonts w:asciiTheme="minorHAnsi" w:hAnsiTheme="minorHAnsi" w:cstheme="minorHAnsi"/>
          <w:sz w:val="20"/>
          <w:szCs w:val="18"/>
          <w:lang w:val="hr-HR"/>
        </w:rPr>
        <w:t>p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>onuditelj je dužan u navedenoj tablici ispuniti stupac „nuđen</w:t>
      </w:r>
      <w:r w:rsidR="006B0EED" w:rsidRPr="00F55713">
        <w:rPr>
          <w:rFonts w:asciiTheme="minorHAnsi" w:hAnsiTheme="minorHAnsi" w:cstheme="minorHAnsi"/>
          <w:sz w:val="20"/>
          <w:szCs w:val="18"/>
          <w:lang w:val="hr-HR"/>
        </w:rPr>
        <w:t>e karakteristike</w:t>
      </w:r>
      <w:r w:rsidRPr="00F55713">
        <w:rPr>
          <w:rFonts w:asciiTheme="minorHAnsi" w:hAnsiTheme="minorHAnsi" w:cstheme="minorHAnsi"/>
          <w:sz w:val="20"/>
          <w:szCs w:val="18"/>
          <w:lang w:val="hr-HR"/>
        </w:rPr>
        <w:t>“ te ju ispunjenu priložiti kao sastavni dio ponude.</w:t>
      </w:r>
    </w:p>
    <w:tbl>
      <w:tblPr>
        <w:tblW w:w="12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393"/>
        <w:gridCol w:w="6341"/>
        <w:gridCol w:w="3620"/>
        <w:gridCol w:w="500"/>
      </w:tblGrid>
      <w:tr w:rsidR="006C285A" w:rsidRPr="00F55713" w14:paraId="3A32E61B" w14:textId="77777777" w:rsidTr="00D175CB">
        <w:trPr>
          <w:tblHeader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F11666" w14:textId="77777777" w:rsidR="006C285A" w:rsidRPr="00F55713" w:rsidRDefault="006C285A" w:rsidP="00705B0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R.br.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F5374C" w14:textId="77777777" w:rsidR="006C285A" w:rsidRPr="00F55713" w:rsidRDefault="006C285A" w:rsidP="00705B0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Opis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75332" w14:textId="77777777" w:rsidR="006C285A" w:rsidRPr="00F55713" w:rsidRDefault="006C285A" w:rsidP="00705B0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Tražene </w:t>
            </w:r>
            <w:r w:rsidR="00A761C7" w:rsidRPr="00F55713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karakteristike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F9748" w14:textId="77777777" w:rsidR="006C285A" w:rsidRPr="00F55713" w:rsidRDefault="006C285A" w:rsidP="00705B0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Nuđene karakteristike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B7136" w14:textId="77777777" w:rsidR="006C285A" w:rsidRPr="00F55713" w:rsidRDefault="0002485B" w:rsidP="00705B0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>Kol</w:t>
            </w:r>
          </w:p>
        </w:tc>
      </w:tr>
      <w:tr w:rsidR="00122A0C" w:rsidRPr="00F55713" w14:paraId="093EA000" w14:textId="77777777" w:rsidTr="00D175C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26A35" w14:textId="77777777" w:rsidR="00122A0C" w:rsidRPr="00F55713" w:rsidRDefault="00772D22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14945" w14:textId="77777777" w:rsidR="00122A0C" w:rsidRPr="00F55713" w:rsidRDefault="00122A0C" w:rsidP="00470CC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5B44B" w14:textId="05C28DAB" w:rsidR="00F73F26" w:rsidRPr="00F55713" w:rsidRDefault="004A3F1B" w:rsidP="00122A0C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Simulator </w:t>
            </w:r>
            <w:r w:rsidR="00F55713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visokonaponskog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sklopnog bloka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82BA" w14:textId="77777777" w:rsidR="00122A0C" w:rsidRPr="00F55713" w:rsidRDefault="00122A0C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FF78" w14:textId="77777777" w:rsidR="00122A0C" w:rsidRPr="00F55713" w:rsidRDefault="00122A0C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62490C" w:rsidRPr="00F55713" w14:paraId="16F99959" w14:textId="77777777" w:rsidTr="00D175C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CC7C9" w14:textId="77777777" w:rsidR="0062490C" w:rsidRPr="00F55713" w:rsidRDefault="0062490C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1.1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9552B" w14:textId="2AF0277A" w:rsidR="0062490C" w:rsidRPr="00F55713" w:rsidRDefault="00D41FE1" w:rsidP="00470CC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Sklopni blok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D3A66" w14:textId="030165FB" w:rsidR="003504D7" w:rsidRPr="00F55713" w:rsidRDefault="00D41FE1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Visokonaponski sklopni blok, čini potpuno oklopljeno i od opasnog napona dodira zaštićeno sklopno postrojenje. Po konstrukciji, sklopno postrojenje je samostojeći ormar s lako pristupačnim priključcima i elementima upravljanja. Bočne i stražnja stranica ormara sadrž</w:t>
            </w:r>
            <w:r w:rsidR="003504D7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okna zaštićena pleksiglasom za</w:t>
            </w:r>
            <w:r w:rsidR="003504D7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vizualni pristup </w:t>
            </w:r>
            <w:r w:rsidR="00F55713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unutrašnjosti</w:t>
            </w:r>
            <w:r w:rsidR="003504D7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bloka: sabirnicama, zemljospojniku, kontaktima prekidana, strujnim i naponskim transformatorima.</w:t>
            </w:r>
          </w:p>
          <w:p w14:paraId="719F7DF4" w14:textId="6C7B58E4" w:rsidR="003504D7" w:rsidRDefault="003504D7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Ormar je podijeljen na tri polja sa zasebnim vratima: polje VN transformatora, polje izvlačivog prekidača i polje upravljanja. </w:t>
            </w:r>
            <w:r w:rsidR="002F22D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Polje strujnih transformatora nalazi se na stražnjoj stranici bloka. Transformatori su izvedeni kao makete zbog smanjenja težine bloka.</w:t>
            </w:r>
          </w:p>
          <w:p w14:paraId="76CA3867" w14:textId="77777777" w:rsidR="002F22DA" w:rsidRPr="00F55713" w:rsidRDefault="002F22DA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0BACFC3B" w14:textId="4FBA515C" w:rsidR="003504D7" w:rsidRPr="00F55713" w:rsidRDefault="00D41FE1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Upravljanje aparatima se obavlja se sa prednje ploče i to zasebnim osovinama i mehanizmima za upravljanje za svaki od rasklopnih aparata (prekidač</w:t>
            </w:r>
            <w:r w:rsidR="003504D7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i 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zemljospojnik). </w:t>
            </w:r>
            <w:r w:rsidR="00F55713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Unutrašnjost ormara osvjetljena je instalacijskim LED trakama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</w:p>
          <w:p w14:paraId="07F56A7C" w14:textId="77777777" w:rsidR="003504D7" w:rsidRPr="00F55713" w:rsidRDefault="003504D7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21848CCF" w14:textId="461F11E2" w:rsidR="003504D7" w:rsidRPr="00F55713" w:rsidRDefault="006308D0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Ormar je opremljen ladicom za tropolni izvlačivi prekidač nazivnog napona 12kV i struje 630A, nazivne struja kratkog spoja (1 s): min. 16 kA.</w:t>
            </w:r>
          </w:p>
          <w:p w14:paraId="0C7CA195" w14:textId="78159F77" w:rsidR="006308D0" w:rsidRPr="00F55713" w:rsidRDefault="006308D0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Ormar i ladica opremljeni su sa:</w:t>
            </w:r>
          </w:p>
          <w:p w14:paraId="646EE57E" w14:textId="7FE136EE" w:rsidR="00971DC5" w:rsidRPr="00F55713" w:rsidRDefault="006308D0" w:rsidP="00990B3C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zemlj</w:t>
            </w:r>
            <w:r w:rsid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spojn</w:t>
            </w:r>
            <w:r w:rsidR="00971DC5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ikom sa</w:t>
            </w:r>
            <w:r w:rsidR="007C572B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5x </w:t>
            </w:r>
            <w:r w:rsidR="00971DC5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pomoćnim kontaktima stanja</w:t>
            </w:r>
            <w:r w:rsidR="007C572B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i ključanicom za sigurno upravljanje blokom</w:t>
            </w:r>
          </w:p>
          <w:p w14:paraId="00BEF31A" w14:textId="030F80F3" w:rsidR="007C572B" w:rsidRPr="00F55713" w:rsidRDefault="007C572B" w:rsidP="00990B3C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si</w:t>
            </w:r>
            <w:r w:rsidR="00990B3C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g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urnosnim </w:t>
            </w:r>
            <w:r w:rsidR="00990B3C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pomičnim poklopcima 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 visokonaponsk</w:t>
            </w:r>
            <w:r w:rsidR="00990B3C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kontakte</w:t>
            </w:r>
          </w:p>
          <w:p w14:paraId="64F59D8B" w14:textId="2E2A4642" w:rsidR="00990B3C" w:rsidRPr="00F55713" w:rsidRDefault="00990B3C" w:rsidP="00990B3C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komplet pomoćnih kontakata za indikaciju stanje i položaja izvlačive ladice</w:t>
            </w:r>
          </w:p>
          <w:p w14:paraId="6777E148" w14:textId="66879E20" w:rsidR="00990B3C" w:rsidRPr="00F55713" w:rsidRDefault="00990B3C" w:rsidP="00990B3C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mehanizmom sa elektromehaničkim sigurnosnim blokadama za izvlačenje prekidača</w:t>
            </w:r>
          </w:p>
          <w:p w14:paraId="07F921D9" w14:textId="1C8AD8CB" w:rsidR="00990B3C" w:rsidRPr="00F55713" w:rsidRDefault="00990B3C" w:rsidP="00990B3C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elektromehaničkim sigurnosnim blokadama za otvaranjem vrata polja VNT i prekidača</w:t>
            </w:r>
          </w:p>
          <w:p w14:paraId="15ABB100" w14:textId="5450C8F3" w:rsidR="00055F27" w:rsidRPr="00F55713" w:rsidRDefault="00055F27" w:rsidP="00990B3C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polugom za z</w:t>
            </w:r>
            <w:r w:rsidR="0009462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mljspojnik i ručicom za izvla</w:t>
            </w:r>
            <w:r w:rsidR="0009462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č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ivu ladicu</w:t>
            </w:r>
          </w:p>
          <w:p w14:paraId="0B60A66C" w14:textId="39AF3A04" w:rsidR="00055F27" w:rsidRPr="00F55713" w:rsidRDefault="00055F27" w:rsidP="00055F2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4A6D1CD3" w14:textId="7975B971" w:rsidR="00055F27" w:rsidRPr="00F55713" w:rsidRDefault="00055F27" w:rsidP="00055F2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Sve upravljačke i nadzorne funkcije bloka povezane su na digitalno sučelje </w:t>
            </w:r>
            <w:r w:rsidR="00612119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koje omogućuje 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upravljanjem putem </w:t>
            </w:r>
            <w:r w:rsidR="00612119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Ethernet standarda na nadzorni softver brodostrojarskog simulatora.</w:t>
            </w:r>
          </w:p>
          <w:p w14:paraId="751AF6A8" w14:textId="34581232" w:rsidR="00055F27" w:rsidRPr="00F55713" w:rsidRDefault="00055F27" w:rsidP="00055F2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31BEE29B" w14:textId="3AE32F5D" w:rsidR="00612119" w:rsidRPr="00F55713" w:rsidRDefault="00612119" w:rsidP="00055F2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lastRenderedPageBreak/>
              <w:t>Polje upravljanja opremljeno je sa:</w:t>
            </w:r>
          </w:p>
          <w:p w14:paraId="6552BD21" w14:textId="02F53684" w:rsidR="00612119" w:rsidRPr="00F55713" w:rsidRDefault="00612119" w:rsidP="009A5DB9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Monitorom osjetljivim na dodir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dijagonale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21“, nativne rezolucije 19</w:t>
            </w:r>
            <w:r w:rsidR="00A44263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0x1080 </w:t>
            </w:r>
            <w:r w:rsidR="00A44263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piksela</w:t>
            </w:r>
          </w:p>
          <w:p w14:paraId="7606D6E4" w14:textId="6F2F5B82" w:rsidR="00A44263" w:rsidRPr="00F55713" w:rsidRDefault="00A44263" w:rsidP="009A5DB9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Kompaktnim numeričkim računalom opće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namjene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sa izvođenje softvera brodostrojarskog simulatora</w:t>
            </w:r>
          </w:p>
          <w:p w14:paraId="1BC38FBB" w14:textId="37B7E514" w:rsidR="00A44263" w:rsidRPr="00F55713" w:rsidRDefault="00A44263" w:rsidP="009A5DB9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Digitalno sučelje Ethernet/</w:t>
            </w:r>
            <w:r w:rsidR="00DE779C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24 digitalna ulaza + 16 digitalnih izlaza + 4 analogna izlaza</w:t>
            </w:r>
          </w:p>
          <w:p w14:paraId="24DBF640" w14:textId="07390345" w:rsidR="00DE779C" w:rsidRPr="00F55713" w:rsidRDefault="00DE779C" w:rsidP="009A5DB9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Pomoćnim relejima i ostalim zaštitim aparatima z</w:t>
            </w:r>
            <w:r w:rsidR="0009462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a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siguran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rad sustava</w:t>
            </w:r>
          </w:p>
          <w:p w14:paraId="7641D892" w14:textId="5CE77E3E" w:rsidR="00A44263" w:rsidRPr="00F55713" w:rsidRDefault="00A44263" w:rsidP="009A5DB9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LED indikatorom prisutnosti faza upravljenim iz sustava </w:t>
            </w:r>
          </w:p>
          <w:p w14:paraId="0874D638" w14:textId="26DDEFDB" w:rsidR="00DE779C" w:rsidRPr="00F55713" w:rsidRDefault="009A5DB9" w:rsidP="009A5DB9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</w:t>
            </w:r>
            <w:r w:rsidR="00DE779C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pojnim pri</w:t>
            </w:r>
            <w:r w:rsidR="00F55713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</w:t>
            </w:r>
            <w:r w:rsidR="00DE779C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ljučkom za simuliran</w:t>
            </w:r>
            <w:r w:rsidR="0064386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 detektor</w:t>
            </w:r>
            <w:r w:rsidR="00DE779C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prisutnosti visokog napona i kontaktnom točkom za provjeru rada </w:t>
            </w:r>
            <w:r w:rsidR="0064386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detektora</w:t>
            </w:r>
            <w:r w:rsidR="00F74CFE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(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simulirani</w:t>
            </w:r>
            <w:r w:rsidR="00F74CFE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visoki napon i točka uzemljenja)</w:t>
            </w:r>
          </w:p>
          <w:p w14:paraId="74DD31B2" w14:textId="2BA98D3D" w:rsidR="00F55713" w:rsidRPr="00F55713" w:rsidRDefault="00F55713" w:rsidP="009A5DB9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tri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vremenska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releja za zaštitu elektromehaničkih sigurnosnih releja</w:t>
            </w:r>
          </w:p>
          <w:p w14:paraId="5703E2FF" w14:textId="125485C3" w:rsidR="00DE779C" w:rsidRPr="00F55713" w:rsidRDefault="009A5DB9" w:rsidP="009A5DB9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</w:t>
            </w:r>
            <w:r w:rsidR="00DE779C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pojnim poljem 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 viseću upravljačku stanicu</w:t>
            </w:r>
          </w:p>
          <w:p w14:paraId="1A148270" w14:textId="77777777" w:rsidR="00DE779C" w:rsidRPr="00F55713" w:rsidRDefault="00DE779C" w:rsidP="00055F2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110DD1B0" w14:textId="4D30F057" w:rsidR="00375CAF" w:rsidRPr="00F55713" w:rsidRDefault="00055F27" w:rsidP="00055F2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Ormar je izveden za sigurni rad simula</w:t>
            </w:r>
            <w:r w:rsidR="009A5DB9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tora visokonaponskog bloka i konstruiran je tako da omogućuje obuku za sve radne operacije visokonaponskog bloka unutar tipične glavne rasklopne ploče brodskog postrojenja </w:t>
            </w:r>
            <w:r w:rsidR="00375CAF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sa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visokonaponskom</w:t>
            </w:r>
            <w:r w:rsidR="00375CAF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dizel električnom propulzijom kontrolirane putem softvera brodostrojarskog simulatora ili viseće upravljačke stanice:</w:t>
            </w:r>
          </w:p>
          <w:p w14:paraId="627CFDF5" w14:textId="22D1C58A" w:rsidR="00055F27" w:rsidRPr="00F55713" w:rsidRDefault="00375CAF" w:rsidP="00592AE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daljinsko iskapčanje i ukapčanje</w:t>
            </w:r>
          </w:p>
          <w:p w14:paraId="2E3F017A" w14:textId="54CFB586" w:rsidR="00375CAF" w:rsidRPr="00F55713" w:rsidRDefault="00375CAF" w:rsidP="00592AE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lokalno iskapčanje</w:t>
            </w:r>
          </w:p>
          <w:p w14:paraId="3F73A7E0" w14:textId="63AA48E8" w:rsidR="00375CAF" w:rsidRPr="00F55713" w:rsidRDefault="00375CAF" w:rsidP="00592AE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izolacija bloka</w:t>
            </w:r>
          </w:p>
          <w:p w14:paraId="43EA3A60" w14:textId="5B025955" w:rsidR="00375CAF" w:rsidRPr="00F55713" w:rsidRDefault="00BF4EDB" w:rsidP="00592AE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</w:t>
            </w:r>
            <w:r w:rsidR="00375CAF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zvlačenje prekidača</w:t>
            </w:r>
          </w:p>
          <w:p w14:paraId="465C2451" w14:textId="1D5B9BC3" w:rsidR="00375CAF" w:rsidRPr="00F55713" w:rsidRDefault="00375CAF" w:rsidP="00592AE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zamjena prekidača</w:t>
            </w:r>
          </w:p>
          <w:p w14:paraId="5E734AE6" w14:textId="3751659A" w:rsidR="00375CAF" w:rsidRPr="00F55713" w:rsidRDefault="00094622" w:rsidP="00592AE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pronalaženje</w:t>
            </w:r>
            <w:r w:rsidR="00592AEF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kvara</w:t>
            </w:r>
          </w:p>
          <w:p w14:paraId="10D89241" w14:textId="0EDF0ED1" w:rsidR="00BF4EDB" w:rsidRPr="00F55713" w:rsidRDefault="00BF4EDB" w:rsidP="00592AE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ostale operacije</w:t>
            </w:r>
          </w:p>
          <w:p w14:paraId="5C875E19" w14:textId="77777777" w:rsidR="00592AEF" w:rsidRPr="00F55713" w:rsidRDefault="00592AEF" w:rsidP="00055F2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  <w:p w14:paraId="296E453C" w14:textId="6A26B9A0" w:rsidR="00592AEF" w:rsidRPr="00F55713" w:rsidRDefault="00592AEF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Ormar je izveden tako da bude kompaktnih dimenzija i manje mase zbog jednostavnije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instalacije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i upravljanja blokom.</w:t>
            </w:r>
          </w:p>
          <w:p w14:paraId="5B43829B" w14:textId="77777777" w:rsidR="00BB744F" w:rsidRPr="00F55713" w:rsidRDefault="00F45C25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Priključci:</w:t>
            </w:r>
          </w:p>
          <w:p w14:paraId="768FD4DD" w14:textId="77777777" w:rsidR="00BB744F" w:rsidRPr="00F55713" w:rsidRDefault="00F45C25" w:rsidP="00BB744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1x 230VAC 2A</w:t>
            </w:r>
          </w:p>
          <w:p w14:paraId="6DE4F1C8" w14:textId="77777777" w:rsidR="00BB744F" w:rsidRPr="00F55713" w:rsidRDefault="00F45C25" w:rsidP="00BB744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2x RJ45 Ethernet</w:t>
            </w:r>
          </w:p>
          <w:p w14:paraId="5D757AA5" w14:textId="773CC6C5" w:rsidR="00F45C25" w:rsidRPr="00F55713" w:rsidRDefault="00F45C25" w:rsidP="00BB744F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spojeno polje </w:t>
            </w:r>
            <w:r w:rsidR="00BB744F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11x2,5mm2 za viseću upravljačku stanicu</w:t>
            </w:r>
          </w:p>
          <w:p w14:paraId="40B9E3BE" w14:textId="33870271" w:rsidR="00592AEF" w:rsidRPr="00F55713" w:rsidRDefault="00592AEF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Ukupne dimenzije bloka ne prelaze sljedeće vrijednosti:</w:t>
            </w:r>
          </w:p>
          <w:p w14:paraId="0291B49D" w14:textId="2F238E4B" w:rsidR="00592AEF" w:rsidRPr="00F55713" w:rsidRDefault="00592AEF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Visina 2100 x Širina 680 x Dubina 1550 mm</w:t>
            </w:r>
          </w:p>
          <w:p w14:paraId="0216AB4A" w14:textId="28068137" w:rsidR="00592AEF" w:rsidRPr="00F55713" w:rsidRDefault="00592AEF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Ukupna masa sa prekidačem 600 kg</w:t>
            </w:r>
          </w:p>
          <w:p w14:paraId="3A85D6F9" w14:textId="78FDA9C5" w:rsidR="008A4EFE" w:rsidRPr="00F55713" w:rsidRDefault="008A4EFE" w:rsidP="00D41FE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E91F" w14:textId="77777777" w:rsidR="0062490C" w:rsidRPr="00F55713" w:rsidRDefault="0062490C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1BDB" w14:textId="21AEA2E7" w:rsidR="0062490C" w:rsidRPr="00F55713" w:rsidRDefault="00592AEF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</w:t>
            </w:r>
          </w:p>
        </w:tc>
      </w:tr>
      <w:tr w:rsidR="008A4EFE" w:rsidRPr="00F55713" w14:paraId="314F1FC4" w14:textId="77777777" w:rsidTr="00D175C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C9752" w14:textId="77777777" w:rsidR="008A4EFE" w:rsidRPr="00F55713" w:rsidRDefault="008A4EFE" w:rsidP="008A4EF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5C9CE" w14:textId="49FE5801" w:rsidR="008A4EFE" w:rsidRPr="00F55713" w:rsidRDefault="00592AEF" w:rsidP="008A4EF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SN prekidač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D61F5" w14:textId="66DD8682" w:rsidR="008A4EFE" w:rsidRPr="00F55713" w:rsidRDefault="00C40A2E" w:rsidP="008A4EF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Srednjenaponski prekidač sljedećih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minimalnih</w:t>
            </w:r>
            <w:r w:rsidR="00F74CFE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karakteristika</w:t>
            </w:r>
            <w:r w:rsidR="008A4EFE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:</w:t>
            </w:r>
          </w:p>
          <w:p w14:paraId="3083A9CE" w14:textId="739473B4" w:rsidR="008A4EFE" w:rsidRPr="00F55713" w:rsidRDefault="00C40A2E" w:rsidP="008A4EFE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potpuno izolirani kompaktni 3P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prekidač</w:t>
            </w: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izoliran </w:t>
            </w:r>
            <w:r w:rsidR="00094622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vakuumom</w:t>
            </w:r>
          </w:p>
          <w:p w14:paraId="293DB6CD" w14:textId="07F94DC5" w:rsidR="00C40A2E" w:rsidRPr="00F55713" w:rsidRDefault="00C40A2E" w:rsidP="00C40A2E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lastRenderedPageBreak/>
              <w:t>nazivni napon min 12kV</w:t>
            </w:r>
          </w:p>
          <w:p w14:paraId="5699AADD" w14:textId="5E089A9E" w:rsidR="008A4EFE" w:rsidRPr="00F55713" w:rsidRDefault="00C40A2E" w:rsidP="00C40A2E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nazivni struja min 630A</w:t>
            </w:r>
          </w:p>
          <w:p w14:paraId="01C873C6" w14:textId="37022287" w:rsidR="00C40A2E" w:rsidRPr="00F55713" w:rsidRDefault="00EF5550" w:rsidP="00C40A2E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nazivna struja kratkog spoja min 16kA</w:t>
            </w:r>
          </w:p>
          <w:p w14:paraId="27A1A6B1" w14:textId="4132ACCC" w:rsidR="00C40A2E" w:rsidRPr="00F55713" w:rsidRDefault="00EF5550" w:rsidP="00C40A2E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svici za uklop/isklop i magnet za blokiranje</w:t>
            </w:r>
          </w:p>
          <w:p w14:paraId="19CD507A" w14:textId="500AF60D" w:rsidR="00C40A2E" w:rsidRPr="00F55713" w:rsidRDefault="00BF4EDB" w:rsidP="00C40A2E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m</w:t>
            </w:r>
            <w:r w:rsidR="00EF5550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otorni pogon 24VDC</w:t>
            </w:r>
          </w:p>
          <w:p w14:paraId="0402704E" w14:textId="1C82224C" w:rsidR="00C40A2E" w:rsidRPr="00F55713" w:rsidRDefault="00BF4EDB" w:rsidP="00C40A2E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</w:t>
            </w:r>
            <w:r w:rsidR="00EF5550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et pomoćnih kontakata za indikaciju stanja prekidača</w:t>
            </w:r>
          </w:p>
          <w:p w14:paraId="0BAC40B0" w14:textId="79E291DB" w:rsidR="00C40A2E" w:rsidRPr="00F55713" w:rsidRDefault="00C40A2E" w:rsidP="00246F86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4540" w14:textId="77777777" w:rsidR="008A4EFE" w:rsidRPr="00F55713" w:rsidRDefault="008A4EFE" w:rsidP="008A4EF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39F" w14:textId="4EF28576" w:rsidR="008A4EFE" w:rsidRPr="00F55713" w:rsidRDefault="00EF5550" w:rsidP="008A4EF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</w:t>
            </w:r>
          </w:p>
        </w:tc>
      </w:tr>
      <w:tr w:rsidR="00650567" w:rsidRPr="00F55713" w14:paraId="74F475FA" w14:textId="77777777" w:rsidTr="00650567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DC78E" w14:textId="5396CBA3" w:rsidR="00650567" w:rsidRPr="00F55713" w:rsidRDefault="00650567" w:rsidP="003F6B30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1.3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D97A9" w14:textId="069AEE4A" w:rsidR="00650567" w:rsidRPr="00F55713" w:rsidRDefault="00EF5550" w:rsidP="003F6B30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Opslužna kolica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FF8A7" w14:textId="1A9BDB85" w:rsidR="00650567" w:rsidRPr="00F55713" w:rsidRDefault="00EF5550" w:rsidP="003F6B30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Opslužna kolica za rukovanje prekidačem</w:t>
            </w:r>
            <w:r w:rsidR="00650567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sljedećih minimalnih karakteristika:</w:t>
            </w:r>
          </w:p>
          <w:p w14:paraId="56648817" w14:textId="77777777" w:rsidR="00BF4EDB" w:rsidRPr="00F55713" w:rsidRDefault="00BF4EDB" w:rsidP="00BF4EDB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polica sa mehanizmom za pozicioniranje na ladicu prekidača</w:t>
            </w:r>
          </w:p>
          <w:p w14:paraId="69C5C1FB" w14:textId="77777777" w:rsidR="00BF4EDB" w:rsidRPr="00F55713" w:rsidRDefault="00BF4EDB" w:rsidP="00BF4EDB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polica podesiva po visini</w:t>
            </w:r>
          </w:p>
          <w:p w14:paraId="502E22CC" w14:textId="77777777" w:rsidR="00BF4EDB" w:rsidRPr="00F55713" w:rsidRDefault="00BF4EDB" w:rsidP="00BF4EDB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osnovne dimenzije dužina 500 x širina 650 x visina 740 mm</w:t>
            </w:r>
          </w:p>
          <w:p w14:paraId="1DAF1A99" w14:textId="77777777" w:rsidR="00650567" w:rsidRPr="00F55713" w:rsidRDefault="00650567" w:rsidP="00BF4EDB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2EEE" w14:textId="77777777" w:rsidR="00650567" w:rsidRPr="00F55713" w:rsidRDefault="00650567" w:rsidP="003F6B30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4803" w14:textId="7DA1E875" w:rsidR="00650567" w:rsidRPr="00F55713" w:rsidRDefault="00650567" w:rsidP="003F6B30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</w:t>
            </w:r>
          </w:p>
        </w:tc>
      </w:tr>
      <w:tr w:rsidR="006A1AC1" w:rsidRPr="00F55713" w14:paraId="19E5D877" w14:textId="77777777" w:rsidTr="00F85B38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60498" w14:textId="662B2AFC" w:rsidR="006A1AC1" w:rsidRPr="00F55713" w:rsidRDefault="00BF4EDB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1.4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AF9F0" w14:textId="6C935102" w:rsidR="006A1AC1" w:rsidRPr="00F55713" w:rsidRDefault="00BF4EDB" w:rsidP="00F61CB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Viseća upravljačka stanica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46554" w14:textId="25DE1241" w:rsidR="006A1AC1" w:rsidRDefault="00BF4EDB" w:rsidP="00F61CB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Viseća upravljačka stanica sljedećih minimalnih karakteristika:</w:t>
            </w:r>
          </w:p>
          <w:p w14:paraId="5CF6F501" w14:textId="19486D74" w:rsidR="00643865" w:rsidRPr="00643865" w:rsidRDefault="00643865" w:rsidP="00643865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stanica naranđaste boje sa 6 upravljačkih/indikacijskih elemenata sa 3 m priključnog kabela</w:t>
            </w:r>
          </w:p>
          <w:p w14:paraId="0922198F" w14:textId="05B800AE" w:rsidR="00643865" w:rsidRDefault="00643865" w:rsidP="00643865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prekidač Lokalno/Daljiski</w:t>
            </w:r>
          </w:p>
          <w:p w14:paraId="7EFECA34" w14:textId="7BF3BC9F" w:rsidR="00643865" w:rsidRDefault="00643865" w:rsidP="00643865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nabijanje upravljačke opruge</w:t>
            </w:r>
          </w:p>
          <w:p w14:paraId="509814F3" w14:textId="55C6A66F" w:rsidR="00643865" w:rsidRDefault="00643865" w:rsidP="00643865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isklopi prekidač</w:t>
            </w:r>
          </w:p>
          <w:p w14:paraId="40EBE30A" w14:textId="39D776C8" w:rsidR="00643865" w:rsidRDefault="00643865" w:rsidP="00643865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uklopi prekidač</w:t>
            </w:r>
          </w:p>
          <w:p w14:paraId="19F4AA94" w14:textId="3DECF35B" w:rsidR="00643865" w:rsidRDefault="00643865" w:rsidP="00643865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oslobodi ladicu</w:t>
            </w:r>
          </w:p>
          <w:p w14:paraId="4640CE63" w14:textId="53AF7856" w:rsidR="00643865" w:rsidRDefault="00643865" w:rsidP="00643865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oslobodi vrata</w:t>
            </w:r>
          </w:p>
          <w:p w14:paraId="7C3B2F87" w14:textId="2818924B" w:rsidR="00643865" w:rsidRPr="00643865" w:rsidRDefault="00643865" w:rsidP="00643865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64386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osnovne dimenzije dužina 5</w:t>
            </w:r>
            <w:r w:rsidR="00353AB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89</w:t>
            </w:r>
            <w:r w:rsidRPr="0064386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x širina </w:t>
            </w:r>
            <w:r w:rsidR="00353AB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98</w:t>
            </w:r>
            <w:r w:rsidRPr="0064386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x visina </w:t>
            </w:r>
            <w:r w:rsidR="00353AB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100</w:t>
            </w:r>
            <w:r w:rsidRPr="0064386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mm</w:t>
            </w:r>
          </w:p>
          <w:p w14:paraId="466B5367" w14:textId="6C2E0CF8" w:rsidR="00BF4EDB" w:rsidRPr="00F55713" w:rsidRDefault="00BF4EDB" w:rsidP="00F61CB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6A00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497C" w14:textId="536F0979" w:rsidR="006A1AC1" w:rsidRPr="00F55713" w:rsidRDefault="00246F86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</w:t>
            </w:r>
          </w:p>
        </w:tc>
      </w:tr>
      <w:tr w:rsidR="00723611" w:rsidRPr="009612CA" w14:paraId="462CE33D" w14:textId="77777777" w:rsidTr="00F85B38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74D26" w14:textId="01BB082F" w:rsidR="00723611" w:rsidRPr="00F55713" w:rsidRDefault="0072361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1.5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77596" w14:textId="5F2C2D28" w:rsidR="00723611" w:rsidRPr="00F55713" w:rsidRDefault="00723611" w:rsidP="00F61CB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Osobna zaštitna oprema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F8868" w14:textId="77777777" w:rsidR="00723611" w:rsidRDefault="00723611" w:rsidP="00F61CBE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Komplet električarske osobne opreme koja se sastoji od:</w:t>
            </w:r>
          </w:p>
          <w:p w14:paraId="01F0F668" w14:textId="5FCA35EE" w:rsidR="00723611" w:rsidRPr="009612CA" w:rsidRDefault="00723611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1x </w:t>
            </w:r>
            <w:r w:rsidR="009C7C57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torba za zaštitnu opremu</w:t>
            </w:r>
          </w:p>
          <w:p w14:paraId="14299235" w14:textId="708C000B" w:rsidR="00723611" w:rsidRPr="009612CA" w:rsidRDefault="00723611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1x </w:t>
            </w:r>
            <w:r w:rsidR="009C7C57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električarska kaciga sa vizirom</w:t>
            </w:r>
          </w:p>
          <w:p w14:paraId="19DAA4FE" w14:textId="401C179B" w:rsidR="00723611" w:rsidRPr="009612CA" w:rsidRDefault="00723611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1x </w:t>
            </w:r>
            <w:r w:rsidR="000979C2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</w:t>
            </w:r>
            <w:r w:rsidR="009C7C57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aštitna jakna protiv električnog luka </w:t>
            </w: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12 cal/cm2 </w:t>
            </w:r>
            <w:r w:rsidR="009C7C57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, veličina </w:t>
            </w: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XL</w:t>
            </w:r>
          </w:p>
          <w:p w14:paraId="73F8756B" w14:textId="7E31617A" w:rsidR="00723611" w:rsidRPr="009612CA" w:rsidRDefault="00723611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1x </w:t>
            </w:r>
            <w:r w:rsidR="000979C2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zaštitne hlače protiv električnog luka 12 cal/cm2 , veličina XL</w:t>
            </w:r>
          </w:p>
          <w:p w14:paraId="1DBD7F36" w14:textId="3FE37CEC" w:rsidR="00723611" w:rsidRPr="009612CA" w:rsidRDefault="00723611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1x </w:t>
            </w:r>
            <w:r w:rsidR="000979C2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silikonizirane kožne nadrukavice </w:t>
            </w:r>
          </w:p>
          <w:p w14:paraId="09C5FF7B" w14:textId="774B15C3" w:rsidR="00723611" w:rsidRPr="009612CA" w:rsidRDefault="00723611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1x </w:t>
            </w:r>
            <w:r w:rsidR="000979C2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izolirane Latex rukavica klasa </w:t>
            </w: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0 length</w:t>
            </w:r>
            <w:r w:rsidR="000979C2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, dužina </w:t>
            </w: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36 cm</w:t>
            </w:r>
            <w:r w:rsidR="000979C2"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, veličina</w:t>
            </w:r>
            <w:r w:rsidRPr="009612CA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 10/11</w:t>
            </w:r>
          </w:p>
          <w:p w14:paraId="0BE6C264" w14:textId="15E9876C" w:rsidR="00723611" w:rsidRPr="000979C2" w:rsidRDefault="00723611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1x </w:t>
            </w:r>
            <w:r w:rsidR="000979C2"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</w:t>
            </w:r>
            <w:r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ester </w:t>
            </w:r>
            <w:r w:rsidR="000979C2"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za </w:t>
            </w:r>
            <w:r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latex </w:t>
            </w:r>
            <w:r w:rsidR="000979C2"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rukavice </w:t>
            </w:r>
            <w:r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135x135x125 mm</w:t>
            </w:r>
          </w:p>
          <w:p w14:paraId="3A038D04" w14:textId="6DC49409" w:rsidR="00723611" w:rsidRPr="000979C2" w:rsidRDefault="00723611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1x </w:t>
            </w:r>
            <w:r w:rsidR="000979C2" w:rsidRP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izolacijska prostirka za p</w:t>
            </w:r>
            <w:r w:rsidR="000979C2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ostavljanje ispred ormara prekidača</w:t>
            </w:r>
          </w:p>
          <w:p w14:paraId="35B6B99C" w14:textId="3210E27E" w:rsidR="009C7C57" w:rsidRPr="009612CA" w:rsidRDefault="009C7C57" w:rsidP="00723611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5F67" w14:textId="77777777" w:rsidR="00723611" w:rsidRPr="00F55713" w:rsidRDefault="0072361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C210" w14:textId="77777777" w:rsidR="00723611" w:rsidRDefault="0072361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6A1AC1" w:rsidRPr="00F55713" w14:paraId="55936C38" w14:textId="77777777" w:rsidTr="00D175C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C916A" w14:textId="0F6107EE" w:rsidR="006A1AC1" w:rsidRPr="00F55713" w:rsidRDefault="00353AB0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378B5" w14:textId="77777777" w:rsidR="006A1AC1" w:rsidRPr="00F55713" w:rsidRDefault="006A1AC1" w:rsidP="00A51B46">
            <w:pPr>
              <w:widowControl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A927D" w14:textId="77777777" w:rsidR="006A1AC1" w:rsidRPr="00F55713" w:rsidRDefault="006A1AC1" w:rsidP="00A51B46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Usluge i dokumentacija</w:t>
            </w:r>
          </w:p>
          <w:p w14:paraId="1022C458" w14:textId="77777777" w:rsidR="006A1AC1" w:rsidRPr="00F55713" w:rsidRDefault="006A1AC1" w:rsidP="00A51B46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0BE8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9600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</w:tr>
      <w:tr w:rsidR="006A1AC1" w:rsidRPr="00F55713" w14:paraId="22668C9A" w14:textId="77777777" w:rsidTr="00D175C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45AABB" w14:textId="1B486A10" w:rsidR="006A1AC1" w:rsidRPr="00F55713" w:rsidRDefault="00353AB0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</w:t>
            </w:r>
            <w:r w:rsidR="006A1AC1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 w:rsidR="00094622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37A37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Instalacija opreme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43EE2" w14:textId="5931150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Dostava, montaža, podešavanje puštanje u rad i testiranje opreme iz troškovnika do potpune funkcionalnosti</w:t>
            </w:r>
            <w:r w:rsidR="00F85B38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</w:p>
          <w:p w14:paraId="66CD5910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A97B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B862" w14:textId="77777777" w:rsidR="006A1AC1" w:rsidRPr="00F55713" w:rsidRDefault="00F85B38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pau</w:t>
            </w:r>
          </w:p>
        </w:tc>
      </w:tr>
      <w:tr w:rsidR="000979C2" w:rsidRPr="000979C2" w14:paraId="621C4CEA" w14:textId="77777777" w:rsidTr="00D175C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8B246" w14:textId="66C449F7" w:rsidR="000979C2" w:rsidRDefault="000979C2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2.2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BC900" w14:textId="5E1910D0" w:rsidR="000979C2" w:rsidRPr="00F55713" w:rsidRDefault="000979C2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Obuka instruktora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AC6DD" w14:textId="32924209" w:rsidR="000979C2" w:rsidRPr="00F55713" w:rsidRDefault="000979C2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Obuka instruktora za rukovanje ormarom prekidača i izdavanje certifikata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D929" w14:textId="77777777" w:rsidR="000979C2" w:rsidRPr="00F55713" w:rsidRDefault="000979C2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E1AC" w14:textId="25F213BF" w:rsidR="000979C2" w:rsidRPr="00F55713" w:rsidRDefault="000979C2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pau</w:t>
            </w:r>
          </w:p>
        </w:tc>
      </w:tr>
      <w:tr w:rsidR="006A1AC1" w:rsidRPr="00F55713" w14:paraId="478212C3" w14:textId="77777777" w:rsidTr="00D175CB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2CB34E" w14:textId="283F4320" w:rsidR="006A1AC1" w:rsidRPr="00F55713" w:rsidRDefault="00353AB0" w:rsidP="00F85B38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lastRenderedPageBreak/>
              <w:t>2</w:t>
            </w:r>
            <w:r w:rsidR="00F85B38"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E79C7C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Dokumentacija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6B497D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Isporučitelj je će dostaviti sljedeću dokumentaciju u elektronskoj kopiji na hrvatskom ili engleskom jeziku:</w:t>
            </w:r>
          </w:p>
          <w:p w14:paraId="52EF37C5" w14:textId="77777777" w:rsidR="006A1AC1" w:rsidRPr="00F55713" w:rsidRDefault="006A1AC1" w:rsidP="007446E7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korisničke upute za korištenje simulatora</w:t>
            </w:r>
          </w:p>
          <w:p w14:paraId="3E3B680B" w14:textId="77777777" w:rsidR="006A1AC1" w:rsidRPr="00F55713" w:rsidRDefault="006A1AC1" w:rsidP="007446E7">
            <w:pPr>
              <w:widowControl w:val="0"/>
              <w:numPr>
                <w:ilvl w:val="0"/>
                <w:numId w:val="8"/>
              </w:numPr>
              <w:ind w:left="346" w:hanging="284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nacrt spajanja simulatora</w:t>
            </w:r>
          </w:p>
          <w:p w14:paraId="081341EB" w14:textId="77777777" w:rsidR="006A1AC1" w:rsidRPr="00F55713" w:rsidRDefault="006A1AC1" w:rsidP="00F73F26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98A1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4489" w14:textId="77777777" w:rsidR="006A1AC1" w:rsidRPr="00F55713" w:rsidRDefault="006A1AC1" w:rsidP="007446E7">
            <w:pPr>
              <w:widowControl w:val="0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F55713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1</w:t>
            </w:r>
          </w:p>
        </w:tc>
      </w:tr>
    </w:tbl>
    <w:p w14:paraId="64169842" w14:textId="77777777" w:rsidR="0002485B" w:rsidRPr="00F55713" w:rsidRDefault="0002485B" w:rsidP="00767371">
      <w:pPr>
        <w:widowControl w:val="0"/>
        <w:autoSpaceDE w:val="0"/>
        <w:autoSpaceDN w:val="0"/>
        <w:adjustRightInd w:val="0"/>
        <w:spacing w:before="120" w:after="240"/>
        <w:rPr>
          <w:rFonts w:asciiTheme="minorHAnsi" w:hAnsiTheme="minorHAnsi" w:cstheme="minorHAnsi"/>
          <w:sz w:val="20"/>
          <w:szCs w:val="18"/>
          <w:lang w:val="hr-HR"/>
        </w:rPr>
      </w:pPr>
    </w:p>
    <w:p w14:paraId="51DBF883" w14:textId="77777777" w:rsidR="0002485B" w:rsidRPr="00F55713" w:rsidRDefault="0002485B" w:rsidP="0002485B">
      <w:pPr>
        <w:rPr>
          <w:lang w:val="hr-HR"/>
        </w:rPr>
      </w:pPr>
      <w:r w:rsidRPr="00F55713">
        <w:rPr>
          <w:lang w:val="hr-HR"/>
        </w:rPr>
        <w:br w:type="page"/>
      </w:r>
    </w:p>
    <w:p w14:paraId="7ED99FF0" w14:textId="77777777" w:rsidR="0002485B" w:rsidRPr="00F55713" w:rsidRDefault="0002485B" w:rsidP="0002485B">
      <w:pPr>
        <w:spacing w:before="120" w:after="240"/>
        <w:rPr>
          <w:rFonts w:asciiTheme="minorHAnsi" w:hAnsiTheme="minorHAnsi" w:cstheme="minorHAnsi"/>
          <w:b/>
          <w:sz w:val="28"/>
          <w:lang w:val="hr-HR"/>
        </w:rPr>
      </w:pPr>
      <w:r w:rsidRPr="00F55713">
        <w:rPr>
          <w:rFonts w:asciiTheme="minorHAnsi" w:hAnsiTheme="minorHAnsi" w:cstheme="minorHAnsi"/>
          <w:b/>
          <w:sz w:val="28"/>
          <w:lang w:val="hr-HR"/>
        </w:rPr>
        <w:lastRenderedPageBreak/>
        <w:t>TROŠKOVNIK</w:t>
      </w:r>
    </w:p>
    <w:p w14:paraId="7DD9BF08" w14:textId="77777777" w:rsidR="0002485B" w:rsidRPr="00F55713" w:rsidRDefault="0002485B" w:rsidP="0002485B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color w:val="000000"/>
          <w:sz w:val="20"/>
          <w:szCs w:val="24"/>
          <w:lang w:val="hr-HR" w:eastAsia="hr-HR"/>
        </w:rPr>
      </w:pPr>
      <w:r w:rsidRPr="00F55713">
        <w:rPr>
          <w:rFonts w:ascii="Calibri" w:eastAsia="Times New Roman" w:hAnsi="Calibri" w:cs="Calibri"/>
          <w:sz w:val="20"/>
          <w:szCs w:val="24"/>
          <w:lang w:val="hr-HR" w:eastAsia="hr-HR"/>
        </w:rPr>
        <w:t xml:space="preserve">Troškovnik mora biti popunjen na izvornom predlošku bez mijenjanja, ispravljanja i prepisivanja izvornog teksta.  </w:t>
      </w:r>
      <w:r w:rsidRPr="00F55713">
        <w:rPr>
          <w:rFonts w:ascii="Calibri" w:eastAsia="Times New Roman" w:hAnsi="Calibri" w:cs="Calibri"/>
          <w:color w:val="000000"/>
          <w:sz w:val="20"/>
          <w:szCs w:val="24"/>
          <w:lang w:val="hr-HR" w:eastAsia="hr-HR"/>
        </w:rPr>
        <w:t xml:space="preserve">Jedinične cijene svake stavke Troškovnika i ukupna cijena moraju biti zaokružene na dvije decimale. Ponuditeljima </w:t>
      </w:r>
      <w:r w:rsidRPr="00F55713">
        <w:rPr>
          <w:rFonts w:ascii="Calibri" w:eastAsia="Times New Roman" w:hAnsi="Calibri" w:cs="Calibri"/>
          <w:bCs/>
          <w:color w:val="000000"/>
          <w:sz w:val="20"/>
          <w:szCs w:val="24"/>
          <w:lang w:val="hr-HR" w:eastAsia="hr-HR"/>
        </w:rPr>
        <w:t xml:space="preserve">nije </w:t>
      </w:r>
      <w:r w:rsidRPr="00F55713">
        <w:rPr>
          <w:rFonts w:ascii="Calibri" w:eastAsia="Times New Roman" w:hAnsi="Calibri" w:cs="Calibri"/>
          <w:color w:val="000000"/>
          <w:sz w:val="20"/>
          <w:szCs w:val="24"/>
          <w:lang w:val="hr-HR" w:eastAsia="hr-HR"/>
        </w:rPr>
        <w:t xml:space="preserve">dopušteno mijenjati tekst troškovnika. </w:t>
      </w:r>
      <w:r w:rsidRPr="00F55713">
        <w:rPr>
          <w:rFonts w:ascii="Calibri" w:eastAsia="Times New Roman" w:hAnsi="Calibri" w:cs="Calibri"/>
          <w:bCs/>
          <w:color w:val="000000"/>
          <w:sz w:val="20"/>
          <w:szCs w:val="24"/>
          <w:lang w:val="hr-HR" w:eastAsia="hr-HR"/>
        </w:rPr>
        <w:t>Sve stavke troškovnika trebaju biti ispunjene</w:t>
      </w:r>
      <w:r w:rsidRPr="00F55713">
        <w:rPr>
          <w:rFonts w:ascii="Calibri" w:eastAsia="Times New Roman" w:hAnsi="Calibri" w:cs="Calibri"/>
          <w:color w:val="000000"/>
          <w:sz w:val="20"/>
          <w:szCs w:val="24"/>
          <w:lang w:val="hr-HR" w:eastAsia="hr-HR"/>
        </w:rPr>
        <w:t xml:space="preserve">. Prilikom popunjavanja troškovnika ponuditelj cijenu stavke izračunava kao umnožak količine stavke i jedinične cijene stavke. </w:t>
      </w:r>
    </w:p>
    <w:p w14:paraId="2582980F" w14:textId="77777777" w:rsidR="0002485B" w:rsidRPr="00F55713" w:rsidRDefault="0002485B" w:rsidP="0002485B">
      <w:pPr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sz w:val="20"/>
          <w:szCs w:val="24"/>
          <w:lang w:val="hr-HR" w:eastAsia="hr-HR"/>
        </w:rPr>
      </w:pPr>
      <w:r w:rsidRPr="00F55713">
        <w:rPr>
          <w:rFonts w:ascii="Calibri" w:eastAsia="Times New Roman" w:hAnsi="Calibri" w:cs="Calibri"/>
          <w:color w:val="000000"/>
          <w:sz w:val="20"/>
          <w:szCs w:val="24"/>
          <w:lang w:val="hr-HR" w:eastAsia="hr-HR"/>
        </w:rPr>
        <w:t xml:space="preserve">Cijena ponude izražava se za cjelokupni predmet nabave. </w:t>
      </w:r>
    </w:p>
    <w:tbl>
      <w:tblPr>
        <w:tblW w:w="12474" w:type="dxa"/>
        <w:jc w:val="center"/>
        <w:tblLook w:val="04A0" w:firstRow="1" w:lastRow="0" w:firstColumn="1" w:lastColumn="0" w:noHBand="0" w:noVBand="1"/>
      </w:tblPr>
      <w:tblGrid>
        <w:gridCol w:w="531"/>
        <w:gridCol w:w="3433"/>
        <w:gridCol w:w="1560"/>
        <w:gridCol w:w="1417"/>
        <w:gridCol w:w="2693"/>
        <w:gridCol w:w="2840"/>
      </w:tblGrid>
      <w:tr w:rsidR="0000122D" w:rsidRPr="009612CA" w14:paraId="61F781CD" w14:textId="77777777" w:rsidTr="0000122D">
        <w:trPr>
          <w:trHeight w:val="51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103E8F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Br</w:t>
            </w: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3CB5E2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Tehnički opis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41A994F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Jedinica mjere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784F6D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Količina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8BFFBD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Jedinična cijena bez PDV-a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DEA1F1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Ukupna cijena bez PDV-a</w:t>
            </w:r>
          </w:p>
        </w:tc>
      </w:tr>
      <w:tr w:rsidR="0000122D" w:rsidRPr="00F55713" w14:paraId="09DAC55F" w14:textId="77777777" w:rsidTr="0000122D">
        <w:trPr>
          <w:trHeight w:val="300"/>
          <w:jc w:val="center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3B8663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99F79E7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146929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813265B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B35071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21E1A9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7=5x6</w:t>
            </w:r>
          </w:p>
        </w:tc>
      </w:tr>
      <w:tr w:rsidR="0000122D" w:rsidRPr="00F55713" w14:paraId="2F0D922A" w14:textId="77777777" w:rsidTr="0000122D">
        <w:trPr>
          <w:trHeight w:val="559"/>
          <w:jc w:val="center"/>
        </w:trPr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9119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3FC7" w14:textId="6D5B944E" w:rsidR="0002485B" w:rsidRPr="00F55713" w:rsidRDefault="00353AB0" w:rsidP="000248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353AB0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Simulator visokonaponskog sklopnog bloka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C8B04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komplet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C424" w14:textId="77777777" w:rsidR="0002485B" w:rsidRPr="00F55713" w:rsidRDefault="0002485B" w:rsidP="0002485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4896" w14:textId="77777777" w:rsidR="0002485B" w:rsidRPr="00F55713" w:rsidRDefault="0002485B" w:rsidP="0002485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5C1C" w14:textId="77777777" w:rsidR="0002485B" w:rsidRPr="00F55713" w:rsidRDefault="0002485B" w:rsidP="0002485B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02485B" w:rsidRPr="009612CA" w14:paraId="54B5426C" w14:textId="77777777" w:rsidTr="0000122D">
        <w:trPr>
          <w:trHeight w:val="559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AD0FA1" w14:textId="77777777" w:rsidR="0002485B" w:rsidRPr="00F55713" w:rsidRDefault="0002485B" w:rsidP="000248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CIJENA PONUDE bez PDV-a: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5A13" w14:textId="77777777" w:rsidR="0002485B" w:rsidRPr="00F55713" w:rsidRDefault="0002485B" w:rsidP="000248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</w:tr>
      <w:tr w:rsidR="0002485B" w:rsidRPr="00F55713" w14:paraId="3E7F2672" w14:textId="77777777" w:rsidTr="0000122D">
        <w:trPr>
          <w:trHeight w:val="559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8C219ED" w14:textId="77777777" w:rsidR="0002485B" w:rsidRPr="00F55713" w:rsidRDefault="0002485B" w:rsidP="000248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IZNOS PDV-a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7A21" w14:textId="77777777" w:rsidR="0002485B" w:rsidRPr="00F55713" w:rsidRDefault="0002485B" w:rsidP="000248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</w:tr>
      <w:tr w:rsidR="0002485B" w:rsidRPr="00F55713" w14:paraId="5EFA780F" w14:textId="77777777" w:rsidTr="0000122D">
        <w:trPr>
          <w:trHeight w:val="559"/>
          <w:jc w:val="center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F2B0D1" w14:textId="77777777" w:rsidR="0002485B" w:rsidRPr="00F55713" w:rsidRDefault="0002485B" w:rsidP="000248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F557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CIJENA PONUDE s PDV-om: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0DC1" w14:textId="77777777" w:rsidR="0002485B" w:rsidRPr="00F55713" w:rsidRDefault="0002485B" w:rsidP="000248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</w:tr>
    </w:tbl>
    <w:p w14:paraId="49DCB436" w14:textId="77777777" w:rsidR="00FE4462" w:rsidRPr="00F55713" w:rsidRDefault="00FE4462" w:rsidP="0002485B">
      <w:pPr>
        <w:pStyle w:val="Heading1"/>
      </w:pPr>
    </w:p>
    <w:sectPr w:rsidR="00FE4462" w:rsidRPr="00F55713" w:rsidSect="0002485B">
      <w:pgSz w:w="15840" w:h="12240" w:orient="landscape" w:code="1"/>
      <w:pgMar w:top="1701" w:right="1985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BCCC" w14:textId="77777777" w:rsidR="009C24F9" w:rsidRDefault="009C24F9" w:rsidP="00DA1161">
      <w:r>
        <w:separator/>
      </w:r>
    </w:p>
  </w:endnote>
  <w:endnote w:type="continuationSeparator" w:id="0">
    <w:p w14:paraId="4CCAFE82" w14:textId="77777777" w:rsidR="009C24F9" w:rsidRDefault="009C24F9" w:rsidP="00DA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50DC" w14:textId="5BD87DFB" w:rsidR="00F61CBE" w:rsidRPr="0000122D" w:rsidRDefault="00E97612" w:rsidP="0000122D">
    <w:pPr>
      <w:pStyle w:val="Footer"/>
      <w:spacing w:before="240"/>
      <w:rPr>
        <w:lang w:val="en-US"/>
      </w:rPr>
    </w:pPr>
    <w:r>
      <w:rPr>
        <w:rFonts w:asciiTheme="minorHAnsi" w:hAnsiTheme="minorHAnsi" w:cstheme="minorHAnsi"/>
        <w:color w:val="4F81BD"/>
        <w:szCs w:val="24"/>
        <w:lang w:val="hr-HR"/>
      </w:rPr>
      <w:t>S</w:t>
    </w:r>
    <w:r w:rsidR="004A3F1B" w:rsidRPr="004A3F1B">
      <w:rPr>
        <w:rFonts w:asciiTheme="minorHAnsi" w:hAnsiTheme="minorHAnsi" w:cstheme="minorHAnsi"/>
        <w:color w:val="4F81BD"/>
        <w:szCs w:val="24"/>
      </w:rPr>
      <w:t>veučilišt</w:t>
    </w:r>
    <w:r>
      <w:rPr>
        <w:rFonts w:asciiTheme="minorHAnsi" w:hAnsiTheme="minorHAnsi" w:cstheme="minorHAnsi"/>
        <w:color w:val="4F81BD"/>
        <w:szCs w:val="24"/>
        <w:lang w:val="hr-HR"/>
      </w:rPr>
      <w:t>e</w:t>
    </w:r>
    <w:r w:rsidR="004A3F1B" w:rsidRPr="004A3F1B">
      <w:rPr>
        <w:rFonts w:asciiTheme="minorHAnsi" w:hAnsiTheme="minorHAnsi" w:cstheme="minorHAnsi"/>
        <w:color w:val="4F81BD"/>
        <w:szCs w:val="24"/>
      </w:rPr>
      <w:t xml:space="preserve"> u Dubrovniku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4736" w14:textId="77777777" w:rsidR="009C24F9" w:rsidRDefault="009C24F9" w:rsidP="00DA1161">
      <w:r>
        <w:separator/>
      </w:r>
    </w:p>
  </w:footnote>
  <w:footnote w:type="continuationSeparator" w:id="0">
    <w:p w14:paraId="77A75C7D" w14:textId="77777777" w:rsidR="009C24F9" w:rsidRDefault="009C24F9" w:rsidP="00DA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4CA0" w14:textId="77777777" w:rsidR="0000122D" w:rsidRPr="007049DB" w:rsidRDefault="0000122D" w:rsidP="0000122D">
    <w:pPr>
      <w:tabs>
        <w:tab w:val="left" w:pos="2580"/>
        <w:tab w:val="left" w:pos="2985"/>
      </w:tabs>
      <w:suppressAutoHyphens/>
      <w:spacing w:after="120"/>
      <w:rPr>
        <w:rFonts w:asciiTheme="minorHAnsi" w:hAnsiTheme="minorHAnsi" w:cstheme="minorHAnsi"/>
        <w:bCs/>
        <w:color w:val="31849B"/>
        <w:lang w:val="it-IT" w:eastAsia="zh-CN"/>
      </w:rPr>
    </w:pPr>
    <w:r w:rsidRPr="007049DB">
      <w:rPr>
        <w:rFonts w:asciiTheme="minorHAnsi" w:hAnsiTheme="minorHAnsi" w:cstheme="minorHAnsi"/>
        <w:b/>
        <w:bCs/>
        <w:color w:val="31849B"/>
        <w:lang w:val="it-IT" w:eastAsia="zh-CN"/>
      </w:rPr>
      <w:t>Dokumentacija o nabavi_Tehnička specifikacija i troškovnik</w:t>
    </w:r>
  </w:p>
  <w:p w14:paraId="60562137" w14:textId="283B22F3" w:rsidR="0000122D" w:rsidRPr="0000122D" w:rsidRDefault="00353AB0" w:rsidP="0000122D">
    <w:pPr>
      <w:pBdr>
        <w:bottom w:val="single" w:sz="4" w:space="1" w:color="C0C0C0"/>
      </w:pBdr>
      <w:tabs>
        <w:tab w:val="left" w:pos="2580"/>
        <w:tab w:val="left" w:pos="2985"/>
      </w:tabs>
      <w:suppressAutoHyphens/>
      <w:spacing w:after="120"/>
      <w:rPr>
        <w:rFonts w:asciiTheme="minorHAnsi" w:hAnsiTheme="minorHAnsi" w:cstheme="minorHAnsi"/>
        <w:szCs w:val="20"/>
        <w:lang w:eastAsia="zh-CN"/>
      </w:rPr>
    </w:pPr>
    <w:r w:rsidRPr="00353AB0">
      <w:rPr>
        <w:rFonts w:asciiTheme="minorHAnsi" w:hAnsiTheme="minorHAnsi" w:cstheme="minorHAnsi"/>
        <w:b/>
        <w:bCs/>
        <w:color w:val="31849B"/>
        <w:lang w:val="it-IT" w:eastAsia="zh-CN"/>
      </w:rPr>
      <w:t>Simulator visokonaponskog sklopnog bloka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0041"/>
    <w:multiLevelType w:val="hybridMultilevel"/>
    <w:tmpl w:val="E9E6C8E0"/>
    <w:lvl w:ilvl="0" w:tplc="6936C0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22A6"/>
    <w:multiLevelType w:val="hybridMultilevel"/>
    <w:tmpl w:val="92926F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49CE"/>
    <w:multiLevelType w:val="multilevel"/>
    <w:tmpl w:val="2980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3" w15:restartNumberingAfterBreak="0">
    <w:nsid w:val="0C5E1B87"/>
    <w:multiLevelType w:val="hybridMultilevel"/>
    <w:tmpl w:val="6324F032"/>
    <w:lvl w:ilvl="0" w:tplc="80B4E79C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DEC"/>
    <w:multiLevelType w:val="hybridMultilevel"/>
    <w:tmpl w:val="FEB06E72"/>
    <w:lvl w:ilvl="0" w:tplc="3BE406B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FF244AC"/>
    <w:multiLevelType w:val="multilevel"/>
    <w:tmpl w:val="645A6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sz w:val="24"/>
      </w:rPr>
    </w:lvl>
  </w:abstractNum>
  <w:abstractNum w:abstractNumId="6" w15:restartNumberingAfterBreak="0">
    <w:nsid w:val="23BA5ACB"/>
    <w:multiLevelType w:val="hybridMultilevel"/>
    <w:tmpl w:val="ECD40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17DC4"/>
    <w:multiLevelType w:val="hybridMultilevel"/>
    <w:tmpl w:val="9500A5E2"/>
    <w:lvl w:ilvl="0" w:tplc="EFDA1A04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8905869"/>
    <w:multiLevelType w:val="hybridMultilevel"/>
    <w:tmpl w:val="17EA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7132F"/>
    <w:multiLevelType w:val="hybridMultilevel"/>
    <w:tmpl w:val="994C65E4"/>
    <w:lvl w:ilvl="0" w:tplc="D28E49A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490B"/>
    <w:multiLevelType w:val="hybridMultilevel"/>
    <w:tmpl w:val="50EE28D2"/>
    <w:lvl w:ilvl="0" w:tplc="80B4E79C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10232B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B1D7B"/>
    <w:multiLevelType w:val="multilevel"/>
    <w:tmpl w:val="645A6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/>
        <w:sz w:val="24"/>
      </w:rPr>
    </w:lvl>
  </w:abstractNum>
  <w:abstractNum w:abstractNumId="12" w15:restartNumberingAfterBreak="0">
    <w:nsid w:val="3D2D30D0"/>
    <w:multiLevelType w:val="hybridMultilevel"/>
    <w:tmpl w:val="45A89AA6"/>
    <w:lvl w:ilvl="0" w:tplc="B5D6413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D6B10"/>
    <w:multiLevelType w:val="hybridMultilevel"/>
    <w:tmpl w:val="31AC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87CEF"/>
    <w:multiLevelType w:val="hybridMultilevel"/>
    <w:tmpl w:val="718EB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534D6"/>
    <w:multiLevelType w:val="hybridMultilevel"/>
    <w:tmpl w:val="9934ECE6"/>
    <w:lvl w:ilvl="0" w:tplc="E27EB60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A3D56"/>
    <w:multiLevelType w:val="multilevel"/>
    <w:tmpl w:val="6D4C87DC"/>
    <w:lvl w:ilvl="0">
      <w:start w:val="1"/>
      <w:numFmt w:val="decimal"/>
      <w:lvlText w:val="%1.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B11AF4"/>
    <w:multiLevelType w:val="hybridMultilevel"/>
    <w:tmpl w:val="951832D2"/>
    <w:lvl w:ilvl="0" w:tplc="EFDA1A0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FDA1A0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D5E1F"/>
    <w:multiLevelType w:val="hybridMultilevel"/>
    <w:tmpl w:val="11C89B7E"/>
    <w:lvl w:ilvl="0" w:tplc="EFDA1A0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17AB"/>
    <w:multiLevelType w:val="hybridMultilevel"/>
    <w:tmpl w:val="4E8E0E04"/>
    <w:lvl w:ilvl="0" w:tplc="AB16F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8171A"/>
    <w:multiLevelType w:val="hybridMultilevel"/>
    <w:tmpl w:val="E7601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933C6"/>
    <w:multiLevelType w:val="hybridMultilevel"/>
    <w:tmpl w:val="CCE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251B1"/>
    <w:multiLevelType w:val="hybridMultilevel"/>
    <w:tmpl w:val="1D64F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B5805"/>
    <w:multiLevelType w:val="hybridMultilevel"/>
    <w:tmpl w:val="08F889A0"/>
    <w:lvl w:ilvl="0" w:tplc="80B4E79C">
      <w:start w:val="8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4364373"/>
    <w:multiLevelType w:val="multilevel"/>
    <w:tmpl w:val="2980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2"/>
      </w:rPr>
    </w:lvl>
  </w:abstractNum>
  <w:abstractNum w:abstractNumId="25" w15:restartNumberingAfterBreak="0">
    <w:nsid w:val="66A633D6"/>
    <w:multiLevelType w:val="hybridMultilevel"/>
    <w:tmpl w:val="CC74F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E6C66"/>
    <w:multiLevelType w:val="hybridMultilevel"/>
    <w:tmpl w:val="A5FAF2C2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07634"/>
    <w:multiLevelType w:val="hybridMultilevel"/>
    <w:tmpl w:val="7C96E2D6"/>
    <w:lvl w:ilvl="0" w:tplc="2B7C8AF6">
      <w:start w:val="1"/>
      <w:numFmt w:val="lowerLetter"/>
      <w:lvlText w:val="%1)"/>
      <w:lvlJc w:val="left"/>
      <w:pPr>
        <w:ind w:left="1684" w:hanging="9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017E26"/>
    <w:multiLevelType w:val="hybridMultilevel"/>
    <w:tmpl w:val="B722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E0E42"/>
    <w:multiLevelType w:val="multilevel"/>
    <w:tmpl w:val="33164E3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47736E"/>
    <w:multiLevelType w:val="hybridMultilevel"/>
    <w:tmpl w:val="0E32E7FE"/>
    <w:lvl w:ilvl="0" w:tplc="F0E297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0"/>
  </w:num>
  <w:num w:numId="7">
    <w:abstractNumId w:val="0"/>
  </w:num>
  <w:num w:numId="8">
    <w:abstractNumId w:val="8"/>
  </w:num>
  <w:num w:numId="9">
    <w:abstractNumId w:val="25"/>
  </w:num>
  <w:num w:numId="10">
    <w:abstractNumId w:val="2"/>
  </w:num>
  <w:num w:numId="11">
    <w:abstractNumId w:val="27"/>
  </w:num>
  <w:num w:numId="12">
    <w:abstractNumId w:val="5"/>
  </w:num>
  <w:num w:numId="13">
    <w:abstractNumId w:val="24"/>
  </w:num>
  <w:num w:numId="14">
    <w:abstractNumId w:val="19"/>
  </w:num>
  <w:num w:numId="15">
    <w:abstractNumId w:val="11"/>
  </w:num>
  <w:num w:numId="16">
    <w:abstractNumId w:val="23"/>
  </w:num>
  <w:num w:numId="17">
    <w:abstractNumId w:val="7"/>
  </w:num>
  <w:num w:numId="18">
    <w:abstractNumId w:val="6"/>
  </w:num>
  <w:num w:numId="19">
    <w:abstractNumId w:val="26"/>
  </w:num>
  <w:num w:numId="20">
    <w:abstractNumId w:val="10"/>
  </w:num>
  <w:num w:numId="21">
    <w:abstractNumId w:val="18"/>
  </w:num>
  <w:num w:numId="22">
    <w:abstractNumId w:val="17"/>
  </w:num>
  <w:num w:numId="23">
    <w:abstractNumId w:val="4"/>
  </w:num>
  <w:num w:numId="24">
    <w:abstractNumId w:val="29"/>
  </w:num>
  <w:num w:numId="25">
    <w:abstractNumId w:val="21"/>
  </w:num>
  <w:num w:numId="26">
    <w:abstractNumId w:val="1"/>
  </w:num>
  <w:num w:numId="27">
    <w:abstractNumId w:val="14"/>
  </w:num>
  <w:num w:numId="28">
    <w:abstractNumId w:val="8"/>
  </w:num>
  <w:num w:numId="29">
    <w:abstractNumId w:val="12"/>
  </w:num>
  <w:num w:numId="30">
    <w:abstractNumId w:val="9"/>
  </w:num>
  <w:num w:numId="31">
    <w:abstractNumId w:val="13"/>
  </w:num>
  <w:num w:numId="32">
    <w:abstractNumId w:val="22"/>
  </w:num>
  <w:num w:numId="33">
    <w:abstractNumId w:val="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61"/>
    <w:rsid w:val="0000122D"/>
    <w:rsid w:val="00003514"/>
    <w:rsid w:val="00016C75"/>
    <w:rsid w:val="00016FC0"/>
    <w:rsid w:val="0002485B"/>
    <w:rsid w:val="00031261"/>
    <w:rsid w:val="00032F44"/>
    <w:rsid w:val="000366D9"/>
    <w:rsid w:val="000400E2"/>
    <w:rsid w:val="00041B17"/>
    <w:rsid w:val="00044493"/>
    <w:rsid w:val="00051613"/>
    <w:rsid w:val="00052DEF"/>
    <w:rsid w:val="00055F27"/>
    <w:rsid w:val="00061956"/>
    <w:rsid w:val="000630D8"/>
    <w:rsid w:val="000639EF"/>
    <w:rsid w:val="0006611D"/>
    <w:rsid w:val="00071B17"/>
    <w:rsid w:val="00080A09"/>
    <w:rsid w:val="00081E8F"/>
    <w:rsid w:val="00086233"/>
    <w:rsid w:val="000937A4"/>
    <w:rsid w:val="00094622"/>
    <w:rsid w:val="000979C2"/>
    <w:rsid w:val="00097F93"/>
    <w:rsid w:val="000A19B0"/>
    <w:rsid w:val="000B35A1"/>
    <w:rsid w:val="000B44B4"/>
    <w:rsid w:val="000B79EE"/>
    <w:rsid w:val="000C0504"/>
    <w:rsid w:val="000C157B"/>
    <w:rsid w:val="000E0E2A"/>
    <w:rsid w:val="000E31C2"/>
    <w:rsid w:val="000F03EB"/>
    <w:rsid w:val="00100EA9"/>
    <w:rsid w:val="00105636"/>
    <w:rsid w:val="0010621F"/>
    <w:rsid w:val="00110B3F"/>
    <w:rsid w:val="00112EDC"/>
    <w:rsid w:val="00120589"/>
    <w:rsid w:val="00121A31"/>
    <w:rsid w:val="00122A0C"/>
    <w:rsid w:val="00132DE5"/>
    <w:rsid w:val="00133D0F"/>
    <w:rsid w:val="00152DB8"/>
    <w:rsid w:val="001540CA"/>
    <w:rsid w:val="001558BB"/>
    <w:rsid w:val="00160299"/>
    <w:rsid w:val="00163AA6"/>
    <w:rsid w:val="0017003D"/>
    <w:rsid w:val="00176E05"/>
    <w:rsid w:val="00177E44"/>
    <w:rsid w:val="00183D7F"/>
    <w:rsid w:val="00185E28"/>
    <w:rsid w:val="001A291A"/>
    <w:rsid w:val="001A60BE"/>
    <w:rsid w:val="001B34D8"/>
    <w:rsid w:val="001C13A3"/>
    <w:rsid w:val="001C3FDB"/>
    <w:rsid w:val="001D1FA7"/>
    <w:rsid w:val="001E18DA"/>
    <w:rsid w:val="001E1BDF"/>
    <w:rsid w:val="001E5263"/>
    <w:rsid w:val="00206CB7"/>
    <w:rsid w:val="0021021F"/>
    <w:rsid w:val="002156AD"/>
    <w:rsid w:val="002169A3"/>
    <w:rsid w:val="00222A24"/>
    <w:rsid w:val="00227471"/>
    <w:rsid w:val="00233F78"/>
    <w:rsid w:val="0024244D"/>
    <w:rsid w:val="00244A0D"/>
    <w:rsid w:val="00246F86"/>
    <w:rsid w:val="00250227"/>
    <w:rsid w:val="00255BC2"/>
    <w:rsid w:val="00257099"/>
    <w:rsid w:val="00267B64"/>
    <w:rsid w:val="00273E74"/>
    <w:rsid w:val="00276B8A"/>
    <w:rsid w:val="00286263"/>
    <w:rsid w:val="00293F8C"/>
    <w:rsid w:val="00294AA6"/>
    <w:rsid w:val="002A1590"/>
    <w:rsid w:val="002A2F85"/>
    <w:rsid w:val="002A6C53"/>
    <w:rsid w:val="002A6F20"/>
    <w:rsid w:val="002A7ABF"/>
    <w:rsid w:val="002B04F5"/>
    <w:rsid w:val="002B7B6D"/>
    <w:rsid w:val="002C1437"/>
    <w:rsid w:val="002C5866"/>
    <w:rsid w:val="002C773D"/>
    <w:rsid w:val="002C7E1D"/>
    <w:rsid w:val="002E0369"/>
    <w:rsid w:val="002E05D7"/>
    <w:rsid w:val="002E7EDB"/>
    <w:rsid w:val="002F22DA"/>
    <w:rsid w:val="00300149"/>
    <w:rsid w:val="0030470E"/>
    <w:rsid w:val="003047EE"/>
    <w:rsid w:val="00317B0E"/>
    <w:rsid w:val="00322F9B"/>
    <w:rsid w:val="00323682"/>
    <w:rsid w:val="003328A1"/>
    <w:rsid w:val="003501D6"/>
    <w:rsid w:val="003503D7"/>
    <w:rsid w:val="003504D7"/>
    <w:rsid w:val="003504F0"/>
    <w:rsid w:val="00353AB0"/>
    <w:rsid w:val="003558EB"/>
    <w:rsid w:val="00355ED2"/>
    <w:rsid w:val="00367A33"/>
    <w:rsid w:val="00375CAF"/>
    <w:rsid w:val="003A1338"/>
    <w:rsid w:val="003A4B8D"/>
    <w:rsid w:val="003C156A"/>
    <w:rsid w:val="003C6818"/>
    <w:rsid w:val="003D04AB"/>
    <w:rsid w:val="003D0C48"/>
    <w:rsid w:val="003D11AC"/>
    <w:rsid w:val="003D6282"/>
    <w:rsid w:val="003D78D0"/>
    <w:rsid w:val="003E1FE1"/>
    <w:rsid w:val="003E210D"/>
    <w:rsid w:val="003E3B68"/>
    <w:rsid w:val="003E47C3"/>
    <w:rsid w:val="003E6D92"/>
    <w:rsid w:val="003F00F7"/>
    <w:rsid w:val="003F3228"/>
    <w:rsid w:val="003F57E6"/>
    <w:rsid w:val="003F7578"/>
    <w:rsid w:val="003F7B13"/>
    <w:rsid w:val="004029BB"/>
    <w:rsid w:val="00405437"/>
    <w:rsid w:val="004056C1"/>
    <w:rsid w:val="004100EC"/>
    <w:rsid w:val="00413861"/>
    <w:rsid w:val="00416E1B"/>
    <w:rsid w:val="00417D4B"/>
    <w:rsid w:val="0042000D"/>
    <w:rsid w:val="004326D6"/>
    <w:rsid w:val="0043646E"/>
    <w:rsid w:val="004370C1"/>
    <w:rsid w:val="00446B9F"/>
    <w:rsid w:val="00447282"/>
    <w:rsid w:val="004607BF"/>
    <w:rsid w:val="00470CCE"/>
    <w:rsid w:val="00471588"/>
    <w:rsid w:val="00472221"/>
    <w:rsid w:val="00474A7C"/>
    <w:rsid w:val="004779DE"/>
    <w:rsid w:val="00482D27"/>
    <w:rsid w:val="0048593C"/>
    <w:rsid w:val="004918EA"/>
    <w:rsid w:val="0049663D"/>
    <w:rsid w:val="0049690B"/>
    <w:rsid w:val="004A3F1B"/>
    <w:rsid w:val="004A71F0"/>
    <w:rsid w:val="004B0224"/>
    <w:rsid w:val="004B0B3E"/>
    <w:rsid w:val="004B4C80"/>
    <w:rsid w:val="004B5520"/>
    <w:rsid w:val="004C4FF7"/>
    <w:rsid w:val="004C5920"/>
    <w:rsid w:val="004C6FFB"/>
    <w:rsid w:val="004D55BC"/>
    <w:rsid w:val="004D761F"/>
    <w:rsid w:val="004F0CA0"/>
    <w:rsid w:val="004F2681"/>
    <w:rsid w:val="0050726E"/>
    <w:rsid w:val="00510465"/>
    <w:rsid w:val="00522023"/>
    <w:rsid w:val="00522E48"/>
    <w:rsid w:val="00534C2F"/>
    <w:rsid w:val="005617FC"/>
    <w:rsid w:val="00563969"/>
    <w:rsid w:val="005705FA"/>
    <w:rsid w:val="00592AEF"/>
    <w:rsid w:val="005948F5"/>
    <w:rsid w:val="005963F9"/>
    <w:rsid w:val="005A2C4F"/>
    <w:rsid w:val="005B10C6"/>
    <w:rsid w:val="005C19D6"/>
    <w:rsid w:val="005C7C2F"/>
    <w:rsid w:val="005D5E6A"/>
    <w:rsid w:val="006038C5"/>
    <w:rsid w:val="0060779A"/>
    <w:rsid w:val="00612119"/>
    <w:rsid w:val="006219F7"/>
    <w:rsid w:val="0062490C"/>
    <w:rsid w:val="006308D0"/>
    <w:rsid w:val="00643865"/>
    <w:rsid w:val="00650567"/>
    <w:rsid w:val="00654854"/>
    <w:rsid w:val="006577C6"/>
    <w:rsid w:val="0066363C"/>
    <w:rsid w:val="006663A0"/>
    <w:rsid w:val="006728F5"/>
    <w:rsid w:val="0068075E"/>
    <w:rsid w:val="00680B5F"/>
    <w:rsid w:val="0069165E"/>
    <w:rsid w:val="0069476C"/>
    <w:rsid w:val="006A1AC1"/>
    <w:rsid w:val="006A2EDA"/>
    <w:rsid w:val="006B0EED"/>
    <w:rsid w:val="006C285A"/>
    <w:rsid w:val="006C4865"/>
    <w:rsid w:val="006C7A50"/>
    <w:rsid w:val="006D0BD3"/>
    <w:rsid w:val="006D19B1"/>
    <w:rsid w:val="006F7362"/>
    <w:rsid w:val="007049DB"/>
    <w:rsid w:val="00704AF1"/>
    <w:rsid w:val="00705B0B"/>
    <w:rsid w:val="00711B15"/>
    <w:rsid w:val="007122AF"/>
    <w:rsid w:val="00723611"/>
    <w:rsid w:val="00723E67"/>
    <w:rsid w:val="00743F77"/>
    <w:rsid w:val="007446E7"/>
    <w:rsid w:val="007542C8"/>
    <w:rsid w:val="0076429B"/>
    <w:rsid w:val="00767371"/>
    <w:rsid w:val="007715B8"/>
    <w:rsid w:val="00772D22"/>
    <w:rsid w:val="00774380"/>
    <w:rsid w:val="00774C83"/>
    <w:rsid w:val="007757BE"/>
    <w:rsid w:val="00777FB4"/>
    <w:rsid w:val="00782DA9"/>
    <w:rsid w:val="00786210"/>
    <w:rsid w:val="007B0D33"/>
    <w:rsid w:val="007C2EF7"/>
    <w:rsid w:val="007C3F60"/>
    <w:rsid w:val="007C49F0"/>
    <w:rsid w:val="007C572B"/>
    <w:rsid w:val="007C5829"/>
    <w:rsid w:val="007D1E69"/>
    <w:rsid w:val="007D591D"/>
    <w:rsid w:val="007E33BB"/>
    <w:rsid w:val="007E4716"/>
    <w:rsid w:val="007E7A8B"/>
    <w:rsid w:val="007F07CA"/>
    <w:rsid w:val="007F4748"/>
    <w:rsid w:val="008007B6"/>
    <w:rsid w:val="008058F0"/>
    <w:rsid w:val="00806500"/>
    <w:rsid w:val="00837FBA"/>
    <w:rsid w:val="00840523"/>
    <w:rsid w:val="008426CF"/>
    <w:rsid w:val="008477B5"/>
    <w:rsid w:val="00854198"/>
    <w:rsid w:val="008711EA"/>
    <w:rsid w:val="00871C01"/>
    <w:rsid w:val="00873BAF"/>
    <w:rsid w:val="00881FBA"/>
    <w:rsid w:val="00882E37"/>
    <w:rsid w:val="00891390"/>
    <w:rsid w:val="008960CF"/>
    <w:rsid w:val="008A4EFE"/>
    <w:rsid w:val="008B5EC5"/>
    <w:rsid w:val="008C081A"/>
    <w:rsid w:val="008C16CB"/>
    <w:rsid w:val="008C4909"/>
    <w:rsid w:val="008D19C7"/>
    <w:rsid w:val="008D1AE3"/>
    <w:rsid w:val="008E1118"/>
    <w:rsid w:val="008E507D"/>
    <w:rsid w:val="008E60EA"/>
    <w:rsid w:val="008E6B9D"/>
    <w:rsid w:val="008E7867"/>
    <w:rsid w:val="008F302A"/>
    <w:rsid w:val="008F321F"/>
    <w:rsid w:val="008F3D04"/>
    <w:rsid w:val="00900C39"/>
    <w:rsid w:val="00902611"/>
    <w:rsid w:val="009104FD"/>
    <w:rsid w:val="00912B55"/>
    <w:rsid w:val="00916CD5"/>
    <w:rsid w:val="0092100C"/>
    <w:rsid w:val="00922173"/>
    <w:rsid w:val="009268FF"/>
    <w:rsid w:val="00930D33"/>
    <w:rsid w:val="00934B43"/>
    <w:rsid w:val="009412D3"/>
    <w:rsid w:val="0094317A"/>
    <w:rsid w:val="00947E4A"/>
    <w:rsid w:val="009546C1"/>
    <w:rsid w:val="00955604"/>
    <w:rsid w:val="009611B1"/>
    <w:rsid w:val="009612CA"/>
    <w:rsid w:val="0096366C"/>
    <w:rsid w:val="009716D1"/>
    <w:rsid w:val="00971B0B"/>
    <w:rsid w:val="00971DC5"/>
    <w:rsid w:val="00976E95"/>
    <w:rsid w:val="0098057D"/>
    <w:rsid w:val="00985AD5"/>
    <w:rsid w:val="00990B3C"/>
    <w:rsid w:val="00991B7B"/>
    <w:rsid w:val="009A01B3"/>
    <w:rsid w:val="009A4D5A"/>
    <w:rsid w:val="009A51B0"/>
    <w:rsid w:val="009A52B2"/>
    <w:rsid w:val="009A5DB9"/>
    <w:rsid w:val="009B24B9"/>
    <w:rsid w:val="009B3031"/>
    <w:rsid w:val="009C24F9"/>
    <w:rsid w:val="009C7C57"/>
    <w:rsid w:val="009D041E"/>
    <w:rsid w:val="009D1842"/>
    <w:rsid w:val="009D2937"/>
    <w:rsid w:val="009D5E32"/>
    <w:rsid w:val="009D6674"/>
    <w:rsid w:val="009E0972"/>
    <w:rsid w:val="009E271C"/>
    <w:rsid w:val="009F1FBC"/>
    <w:rsid w:val="009F2125"/>
    <w:rsid w:val="009F6293"/>
    <w:rsid w:val="00A05B8F"/>
    <w:rsid w:val="00A062E4"/>
    <w:rsid w:val="00A17470"/>
    <w:rsid w:val="00A22481"/>
    <w:rsid w:val="00A24A5E"/>
    <w:rsid w:val="00A24A6A"/>
    <w:rsid w:val="00A27CAA"/>
    <w:rsid w:val="00A34704"/>
    <w:rsid w:val="00A358FC"/>
    <w:rsid w:val="00A41552"/>
    <w:rsid w:val="00A440B8"/>
    <w:rsid w:val="00A44263"/>
    <w:rsid w:val="00A457BB"/>
    <w:rsid w:val="00A46BBC"/>
    <w:rsid w:val="00A51B46"/>
    <w:rsid w:val="00A746A7"/>
    <w:rsid w:val="00A75732"/>
    <w:rsid w:val="00A761C7"/>
    <w:rsid w:val="00A8113F"/>
    <w:rsid w:val="00A830C5"/>
    <w:rsid w:val="00A918AA"/>
    <w:rsid w:val="00A91E74"/>
    <w:rsid w:val="00A95EE4"/>
    <w:rsid w:val="00AB39CC"/>
    <w:rsid w:val="00AC0649"/>
    <w:rsid w:val="00AC2614"/>
    <w:rsid w:val="00AD4F21"/>
    <w:rsid w:val="00AD59A3"/>
    <w:rsid w:val="00AD5A9B"/>
    <w:rsid w:val="00B02A07"/>
    <w:rsid w:val="00B45A98"/>
    <w:rsid w:val="00B53AE4"/>
    <w:rsid w:val="00B55962"/>
    <w:rsid w:val="00B65C89"/>
    <w:rsid w:val="00B702AD"/>
    <w:rsid w:val="00B748B1"/>
    <w:rsid w:val="00B9563B"/>
    <w:rsid w:val="00B96722"/>
    <w:rsid w:val="00BB1011"/>
    <w:rsid w:val="00BB744F"/>
    <w:rsid w:val="00BD4F46"/>
    <w:rsid w:val="00BE00C6"/>
    <w:rsid w:val="00BE0C7D"/>
    <w:rsid w:val="00BE3908"/>
    <w:rsid w:val="00BF4EDB"/>
    <w:rsid w:val="00BF7E56"/>
    <w:rsid w:val="00C00499"/>
    <w:rsid w:val="00C02690"/>
    <w:rsid w:val="00C1516A"/>
    <w:rsid w:val="00C242B2"/>
    <w:rsid w:val="00C338C6"/>
    <w:rsid w:val="00C3633F"/>
    <w:rsid w:val="00C40A2E"/>
    <w:rsid w:val="00C42064"/>
    <w:rsid w:val="00C427D9"/>
    <w:rsid w:val="00C5199B"/>
    <w:rsid w:val="00C5223F"/>
    <w:rsid w:val="00C647FA"/>
    <w:rsid w:val="00C649AA"/>
    <w:rsid w:val="00C71E79"/>
    <w:rsid w:val="00C80FF7"/>
    <w:rsid w:val="00C8352A"/>
    <w:rsid w:val="00C91AD8"/>
    <w:rsid w:val="00C97D32"/>
    <w:rsid w:val="00CA0AEA"/>
    <w:rsid w:val="00CA4915"/>
    <w:rsid w:val="00CA61D4"/>
    <w:rsid w:val="00CA76C6"/>
    <w:rsid w:val="00CB073E"/>
    <w:rsid w:val="00CB0CAC"/>
    <w:rsid w:val="00CB3262"/>
    <w:rsid w:val="00CB3F34"/>
    <w:rsid w:val="00CC03E3"/>
    <w:rsid w:val="00CC08CB"/>
    <w:rsid w:val="00CD0121"/>
    <w:rsid w:val="00CD354B"/>
    <w:rsid w:val="00CD49A8"/>
    <w:rsid w:val="00CE153B"/>
    <w:rsid w:val="00D12D79"/>
    <w:rsid w:val="00D175CB"/>
    <w:rsid w:val="00D201CA"/>
    <w:rsid w:val="00D25A61"/>
    <w:rsid w:val="00D26D5C"/>
    <w:rsid w:val="00D41FE1"/>
    <w:rsid w:val="00D52A45"/>
    <w:rsid w:val="00D538E4"/>
    <w:rsid w:val="00D56351"/>
    <w:rsid w:val="00D61317"/>
    <w:rsid w:val="00D62B44"/>
    <w:rsid w:val="00D65561"/>
    <w:rsid w:val="00D75591"/>
    <w:rsid w:val="00D7689C"/>
    <w:rsid w:val="00D807B9"/>
    <w:rsid w:val="00D90466"/>
    <w:rsid w:val="00D90B2A"/>
    <w:rsid w:val="00DA1161"/>
    <w:rsid w:val="00DB177D"/>
    <w:rsid w:val="00DB2896"/>
    <w:rsid w:val="00DB539F"/>
    <w:rsid w:val="00DB7ADD"/>
    <w:rsid w:val="00DC1089"/>
    <w:rsid w:val="00DC4F1C"/>
    <w:rsid w:val="00DC5CB4"/>
    <w:rsid w:val="00DD2505"/>
    <w:rsid w:val="00DD395C"/>
    <w:rsid w:val="00DE779C"/>
    <w:rsid w:val="00DF3F92"/>
    <w:rsid w:val="00E077F4"/>
    <w:rsid w:val="00E16CFC"/>
    <w:rsid w:val="00E17046"/>
    <w:rsid w:val="00E21897"/>
    <w:rsid w:val="00E232B9"/>
    <w:rsid w:val="00E276A4"/>
    <w:rsid w:val="00E34AB7"/>
    <w:rsid w:val="00E454CA"/>
    <w:rsid w:val="00E47479"/>
    <w:rsid w:val="00E54B79"/>
    <w:rsid w:val="00E60D14"/>
    <w:rsid w:val="00E62094"/>
    <w:rsid w:val="00E83777"/>
    <w:rsid w:val="00E95E3E"/>
    <w:rsid w:val="00E95F5E"/>
    <w:rsid w:val="00E97612"/>
    <w:rsid w:val="00EB3644"/>
    <w:rsid w:val="00EB6360"/>
    <w:rsid w:val="00EC6405"/>
    <w:rsid w:val="00EE069A"/>
    <w:rsid w:val="00EE36D0"/>
    <w:rsid w:val="00EE6E84"/>
    <w:rsid w:val="00EF2F23"/>
    <w:rsid w:val="00EF5550"/>
    <w:rsid w:val="00EF6412"/>
    <w:rsid w:val="00F05B7E"/>
    <w:rsid w:val="00F05D07"/>
    <w:rsid w:val="00F1047B"/>
    <w:rsid w:val="00F11096"/>
    <w:rsid w:val="00F16C8C"/>
    <w:rsid w:val="00F2056E"/>
    <w:rsid w:val="00F26D20"/>
    <w:rsid w:val="00F44FE6"/>
    <w:rsid w:val="00F45BEA"/>
    <w:rsid w:val="00F45C25"/>
    <w:rsid w:val="00F506B1"/>
    <w:rsid w:val="00F55713"/>
    <w:rsid w:val="00F61CBE"/>
    <w:rsid w:val="00F64D54"/>
    <w:rsid w:val="00F73F26"/>
    <w:rsid w:val="00F74CFE"/>
    <w:rsid w:val="00F7607F"/>
    <w:rsid w:val="00F82DC3"/>
    <w:rsid w:val="00F8311A"/>
    <w:rsid w:val="00F83439"/>
    <w:rsid w:val="00F83A15"/>
    <w:rsid w:val="00F85B38"/>
    <w:rsid w:val="00F90B64"/>
    <w:rsid w:val="00FA4DFF"/>
    <w:rsid w:val="00FB2A82"/>
    <w:rsid w:val="00FB3ADB"/>
    <w:rsid w:val="00FC0AA8"/>
    <w:rsid w:val="00FC160D"/>
    <w:rsid w:val="00FC18D7"/>
    <w:rsid w:val="00FC7879"/>
    <w:rsid w:val="00FD107E"/>
    <w:rsid w:val="00FE4462"/>
    <w:rsid w:val="00FE6CCB"/>
    <w:rsid w:val="00FF0636"/>
    <w:rsid w:val="00FF1C55"/>
    <w:rsid w:val="00FF69AC"/>
    <w:rsid w:val="00FF711D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41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7BF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485B"/>
    <w:pPr>
      <w:keepNext/>
      <w:keepLines/>
      <w:spacing w:before="120" w:after="120"/>
      <w:jc w:val="both"/>
      <w:outlineLvl w:val="0"/>
    </w:pPr>
    <w:rPr>
      <w:rFonts w:asciiTheme="minorHAnsi" w:hAnsiTheme="minorHAnsi" w:cstheme="minorHAnsi"/>
      <w:b/>
      <w:sz w:val="28"/>
      <w:szCs w:val="24"/>
      <w:lang w:val="hr-HR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5437"/>
    <w:pPr>
      <w:keepNext/>
      <w:keepLines/>
      <w:outlineLvl w:val="1"/>
    </w:pPr>
    <w:rPr>
      <w:b/>
      <w:lang w:val="hr-HR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B3031"/>
    <w:pPr>
      <w:keepNext/>
      <w:keepLines/>
      <w:spacing w:before="200" w:after="200"/>
      <w:jc w:val="both"/>
      <w:outlineLvl w:val="2"/>
    </w:pPr>
    <w:rPr>
      <w:rFonts w:eastAsia="SimSun"/>
      <w:b/>
      <w:bCs/>
      <w:lang w:val="hr-HR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31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161"/>
    <w:pPr>
      <w:tabs>
        <w:tab w:val="center" w:pos="4703"/>
        <w:tab w:val="right" w:pos="94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A116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A1161"/>
    <w:pPr>
      <w:tabs>
        <w:tab w:val="center" w:pos="4703"/>
        <w:tab w:val="right" w:pos="94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A1161"/>
    <w:rPr>
      <w:rFonts w:ascii="Arial" w:hAnsi="Arial"/>
    </w:rPr>
  </w:style>
  <w:style w:type="table" w:styleId="TableGrid">
    <w:name w:val="Table Grid"/>
    <w:basedOn w:val="TableNormal"/>
    <w:uiPriority w:val="59"/>
    <w:rsid w:val="00CA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2485B"/>
    <w:rPr>
      <w:rFonts w:asciiTheme="minorHAnsi" w:hAnsiTheme="minorHAnsi" w:cstheme="minorHAnsi"/>
      <w:b/>
      <w:sz w:val="28"/>
      <w:szCs w:val="24"/>
      <w:lang w:val="hr-HR" w:eastAsia="x-none"/>
    </w:rPr>
  </w:style>
  <w:style w:type="character" w:customStyle="1" w:styleId="Heading2Char">
    <w:name w:val="Heading 2 Char"/>
    <w:link w:val="Heading2"/>
    <w:uiPriority w:val="9"/>
    <w:rsid w:val="00405437"/>
    <w:rPr>
      <w:rFonts w:ascii="Arial" w:hAnsi="Arial"/>
      <w:b/>
      <w:sz w:val="22"/>
      <w:szCs w:val="22"/>
      <w:lang w:eastAsia="x-none"/>
    </w:rPr>
  </w:style>
  <w:style w:type="character" w:customStyle="1" w:styleId="Heading3Char">
    <w:name w:val="Heading 3 Char"/>
    <w:link w:val="Heading3"/>
    <w:uiPriority w:val="9"/>
    <w:rsid w:val="009B3031"/>
    <w:rPr>
      <w:rFonts w:ascii="Arial" w:eastAsia="SimSun" w:hAnsi="Arial"/>
      <w:b/>
      <w:bCs/>
      <w:sz w:val="22"/>
      <w:szCs w:val="22"/>
      <w:lang w:eastAsia="x-none"/>
    </w:rPr>
  </w:style>
  <w:style w:type="paragraph" w:styleId="ListParagraph">
    <w:name w:val="List Paragraph"/>
    <w:basedOn w:val="Normal"/>
    <w:uiPriority w:val="34"/>
    <w:qFormat/>
    <w:rsid w:val="0004449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715B8"/>
    <w:pPr>
      <w:spacing w:line="276" w:lineRule="auto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15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15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15B8"/>
    <w:pPr>
      <w:spacing w:after="100"/>
      <w:ind w:left="440"/>
    </w:pPr>
  </w:style>
  <w:style w:type="character" w:styleId="Hyperlink">
    <w:name w:val="Hyperlink"/>
    <w:uiPriority w:val="99"/>
    <w:unhideWhenUsed/>
    <w:rsid w:val="007715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5B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15B8"/>
    <w:rPr>
      <w:rFonts w:ascii="Tahoma" w:hAnsi="Tahoma" w:cs="Tahoma"/>
      <w:sz w:val="16"/>
      <w:szCs w:val="16"/>
    </w:rPr>
  </w:style>
  <w:style w:type="paragraph" w:customStyle="1" w:styleId="BodyText20">
    <w:name w:val="Body Text 2_0"/>
    <w:basedOn w:val="Normal"/>
    <w:rsid w:val="00680B5F"/>
    <w:pPr>
      <w:jc w:val="center"/>
    </w:pPr>
    <w:rPr>
      <w:rFonts w:eastAsia="Times New Roman"/>
      <w:sz w:val="20"/>
      <w:szCs w:val="20"/>
      <w:lang w:val="hr-HR"/>
    </w:rPr>
  </w:style>
  <w:style w:type="character" w:styleId="Strong">
    <w:name w:val="Strong"/>
    <w:uiPriority w:val="22"/>
    <w:qFormat/>
    <w:rsid w:val="00FE4462"/>
    <w:rPr>
      <w:b/>
      <w:bCs/>
    </w:rPr>
  </w:style>
  <w:style w:type="paragraph" w:customStyle="1" w:styleId="toa">
    <w:name w:val="toa"/>
    <w:basedOn w:val="Normal"/>
    <w:rsid w:val="00FE4462"/>
    <w:pPr>
      <w:widowControl w:val="0"/>
      <w:tabs>
        <w:tab w:val="left" w:pos="9000"/>
        <w:tab w:val="right" w:pos="9360"/>
      </w:tabs>
      <w:suppressAutoHyphens/>
      <w:spacing w:line="276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233F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customStyle="1" w:styleId="CharChar1">
    <w:name w:val="Char Char1"/>
    <w:aliases w:val="Char Char Char"/>
    <w:basedOn w:val="Normal"/>
    <w:rsid w:val="00B748B1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t-9-8">
    <w:name w:val="t-9-8"/>
    <w:basedOn w:val="Normal"/>
    <w:rsid w:val="00AD5A9B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val="hr-HR" w:eastAsia="ar-SA"/>
    </w:rPr>
  </w:style>
  <w:style w:type="paragraph" w:customStyle="1" w:styleId="CharCharCharCharCharChar">
    <w:name w:val="Char Char Char Char Char Char"/>
    <w:basedOn w:val="Normal"/>
    <w:rsid w:val="00AD5A9B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9D0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D041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041E"/>
    <w:rPr>
      <w:rFonts w:ascii="Arial" w:hAnsi="Arial"/>
      <w:b/>
      <w:bCs/>
      <w:lang w:val="en-US" w:eastAsia="en-US"/>
    </w:rPr>
  </w:style>
  <w:style w:type="character" w:customStyle="1" w:styleId="Heading4Char">
    <w:name w:val="Heading 4 Char"/>
    <w:link w:val="Heading4"/>
    <w:uiPriority w:val="9"/>
    <w:rsid w:val="00D6131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3356-8BA8-451C-97CF-EF2B9A63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2021-11-18T10:52:00Z</dcterms:created>
  <dcterms:modified xsi:type="dcterms:W3CDTF">2021-11-21T17:57:00Z</dcterms:modified>
</cp:coreProperties>
</file>