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6861" w:rsidRDefault="00D333A7">
      <w:pPr>
        <w:pStyle w:val="Heading1"/>
        <w:rPr>
          <w:rFonts w:ascii="Arial" w:eastAsia="Arial" w:hAnsi="Arial" w:cs="Arial"/>
        </w:rPr>
      </w:pPr>
      <w:r>
        <w:rPr>
          <w:rFonts w:ascii="Arial" w:eastAsia="Arial" w:hAnsi="Arial" w:cs="Arial"/>
        </w:rPr>
        <w:t>TEHNIČKA SPECIFIKACIJA – Prilog 1</w:t>
      </w:r>
    </w:p>
    <w:p w:rsidR="00B96861" w:rsidRDefault="00D333A7">
      <w:pPr>
        <w:widowControl w:val="0"/>
        <w:spacing w:before="120" w:after="240"/>
        <w:rPr>
          <w:sz w:val="20"/>
          <w:szCs w:val="20"/>
        </w:rPr>
      </w:pPr>
      <w:r>
        <w:rPr>
          <w:sz w:val="20"/>
          <w:szCs w:val="20"/>
        </w:rPr>
        <w:t>Tehničke karakteristike (parametri) kako zahtijevani tako i oni koje nudi ponuditelj specificirani su u donjoj tablici. Sukladno zahtjevu Naručitelja, ponuditelj je dužan u navedenoj tablici ispuniti stupac „nuđene karakteristike“ te ju ispunjenu priložiti kao sastavni dio ponude.</w:t>
      </w:r>
    </w:p>
    <w:tbl>
      <w:tblPr>
        <w:tblStyle w:val="a"/>
        <w:tblW w:w="13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1559"/>
        <w:gridCol w:w="6341"/>
        <w:gridCol w:w="4007"/>
        <w:gridCol w:w="572"/>
      </w:tblGrid>
      <w:tr w:rsidR="00B96861">
        <w:trPr>
          <w:tblHeader/>
          <w:jc w:val="center"/>
        </w:trPr>
        <w:tc>
          <w:tcPr>
            <w:tcW w:w="704" w:type="dxa"/>
            <w:tcBorders>
              <w:top w:val="single" w:sz="4" w:space="0" w:color="000000"/>
              <w:left w:val="single" w:sz="4" w:space="0" w:color="000000"/>
              <w:bottom w:val="single" w:sz="4" w:space="0" w:color="000000"/>
              <w:right w:val="single" w:sz="4" w:space="0" w:color="000000"/>
            </w:tcBorders>
          </w:tcPr>
          <w:p w:rsidR="00B96861" w:rsidRDefault="00D333A7">
            <w:pPr>
              <w:widowControl w:val="0"/>
              <w:jc w:val="center"/>
              <w:rPr>
                <w:b/>
                <w:bCs/>
                <w:sz w:val="18"/>
                <w:szCs w:val="18"/>
              </w:rPr>
            </w:pPr>
            <w:bookmarkStart w:id="0" w:name="_heading=h.b0wkoq1x8s8g" w:colFirst="0" w:colLast="0"/>
            <w:bookmarkEnd w:id="0"/>
            <w:r>
              <w:rPr>
                <w:b/>
                <w:bCs/>
                <w:sz w:val="18"/>
                <w:szCs w:val="18"/>
              </w:rPr>
              <w:t>R.br.</w:t>
            </w:r>
          </w:p>
          <w:p w:rsidR="00B96861" w:rsidRDefault="00B96861">
            <w:pPr>
              <w:widowControl w:val="0"/>
              <w:jc w:val="center"/>
              <w:rPr>
                <w:b/>
                <w:bCs/>
                <w:sz w:val="18"/>
                <w:szCs w:val="18"/>
              </w:rPr>
            </w:pPr>
          </w:p>
        </w:tc>
        <w:tc>
          <w:tcPr>
            <w:tcW w:w="1559" w:type="dxa"/>
            <w:tcBorders>
              <w:top w:val="single" w:sz="4" w:space="0" w:color="000000"/>
              <w:left w:val="single" w:sz="4" w:space="0" w:color="000000"/>
              <w:bottom w:val="single" w:sz="4" w:space="0" w:color="000000"/>
              <w:right w:val="single" w:sz="4" w:space="0" w:color="000000"/>
            </w:tcBorders>
          </w:tcPr>
          <w:p w:rsidR="00B96861" w:rsidRDefault="00D333A7">
            <w:pPr>
              <w:widowControl w:val="0"/>
              <w:jc w:val="center"/>
              <w:rPr>
                <w:b/>
                <w:bCs/>
                <w:sz w:val="18"/>
                <w:szCs w:val="18"/>
              </w:rPr>
            </w:pPr>
            <w:r>
              <w:rPr>
                <w:b/>
                <w:bCs/>
                <w:sz w:val="18"/>
                <w:szCs w:val="18"/>
              </w:rPr>
              <w:t>Opis</w:t>
            </w:r>
          </w:p>
        </w:tc>
        <w:tc>
          <w:tcPr>
            <w:tcW w:w="6341" w:type="dxa"/>
            <w:tcBorders>
              <w:top w:val="single" w:sz="4" w:space="0" w:color="000000"/>
              <w:left w:val="single" w:sz="4" w:space="0" w:color="000000"/>
              <w:bottom w:val="single" w:sz="4" w:space="0" w:color="000000"/>
              <w:right w:val="single" w:sz="4" w:space="0" w:color="000000"/>
            </w:tcBorders>
          </w:tcPr>
          <w:p w:rsidR="00B96861" w:rsidRDefault="00D333A7">
            <w:pPr>
              <w:widowControl w:val="0"/>
              <w:jc w:val="center"/>
              <w:rPr>
                <w:b/>
                <w:bCs/>
                <w:sz w:val="18"/>
                <w:szCs w:val="18"/>
              </w:rPr>
            </w:pPr>
            <w:r>
              <w:rPr>
                <w:b/>
                <w:bCs/>
                <w:sz w:val="18"/>
                <w:szCs w:val="18"/>
              </w:rPr>
              <w:t>Tražene karakteristike</w:t>
            </w:r>
          </w:p>
        </w:tc>
        <w:tc>
          <w:tcPr>
            <w:tcW w:w="4007" w:type="dxa"/>
            <w:tcBorders>
              <w:top w:val="single" w:sz="4" w:space="0" w:color="000000"/>
              <w:left w:val="single" w:sz="4" w:space="0" w:color="000000"/>
              <w:bottom w:val="single" w:sz="4" w:space="0" w:color="000000"/>
              <w:right w:val="single" w:sz="4" w:space="0" w:color="000000"/>
            </w:tcBorders>
          </w:tcPr>
          <w:p w:rsidR="00B96861" w:rsidRDefault="00D333A7">
            <w:pPr>
              <w:widowControl w:val="0"/>
              <w:jc w:val="center"/>
              <w:rPr>
                <w:b/>
                <w:bCs/>
                <w:sz w:val="18"/>
                <w:szCs w:val="18"/>
              </w:rPr>
            </w:pPr>
            <w:r>
              <w:rPr>
                <w:b/>
                <w:bCs/>
                <w:sz w:val="18"/>
                <w:szCs w:val="18"/>
              </w:rPr>
              <w:t>Nuđene karakteristike</w:t>
            </w:r>
          </w:p>
        </w:tc>
        <w:tc>
          <w:tcPr>
            <w:tcW w:w="572" w:type="dxa"/>
            <w:tcBorders>
              <w:top w:val="single" w:sz="4" w:space="0" w:color="000000"/>
              <w:left w:val="single" w:sz="4" w:space="0" w:color="000000"/>
              <w:bottom w:val="single" w:sz="4" w:space="0" w:color="000000"/>
              <w:right w:val="single" w:sz="4" w:space="0" w:color="000000"/>
            </w:tcBorders>
          </w:tcPr>
          <w:p w:rsidR="00B96861" w:rsidRDefault="00D333A7">
            <w:pPr>
              <w:widowControl w:val="0"/>
              <w:jc w:val="center"/>
              <w:rPr>
                <w:b/>
                <w:bCs/>
                <w:sz w:val="18"/>
                <w:szCs w:val="18"/>
              </w:rPr>
            </w:pPr>
            <w:r>
              <w:rPr>
                <w:b/>
                <w:bCs/>
                <w:sz w:val="18"/>
                <w:szCs w:val="18"/>
              </w:rPr>
              <w:t>Kol</w:t>
            </w:r>
          </w:p>
        </w:tc>
      </w:tr>
      <w:tr w:rsidR="00B96861">
        <w:trPr>
          <w:trHeight w:val="414"/>
          <w:jc w:val="center"/>
        </w:trPr>
        <w:tc>
          <w:tcPr>
            <w:tcW w:w="704" w:type="dxa"/>
            <w:tcBorders>
              <w:top w:val="single" w:sz="4" w:space="0" w:color="000000"/>
              <w:left w:val="single" w:sz="4" w:space="0" w:color="000000"/>
              <w:bottom w:val="single" w:sz="4" w:space="0" w:color="000000"/>
              <w:right w:val="single" w:sz="4" w:space="0" w:color="000000"/>
            </w:tcBorders>
          </w:tcPr>
          <w:p w:rsidR="00B96861" w:rsidRDefault="00D333A7">
            <w:pPr>
              <w:widowControl w:val="0"/>
              <w:rPr>
                <w:sz w:val="18"/>
                <w:szCs w:val="18"/>
              </w:rPr>
            </w:pPr>
            <w:r>
              <w:rPr>
                <w:sz w:val="18"/>
                <w:szCs w:val="18"/>
              </w:rPr>
              <w:t>1</w:t>
            </w:r>
          </w:p>
        </w:tc>
        <w:tc>
          <w:tcPr>
            <w:tcW w:w="1559" w:type="dxa"/>
            <w:tcBorders>
              <w:top w:val="single" w:sz="4" w:space="0" w:color="000000"/>
              <w:left w:val="single" w:sz="4" w:space="0" w:color="000000"/>
              <w:bottom w:val="single" w:sz="4" w:space="0" w:color="000000"/>
              <w:right w:val="single" w:sz="4" w:space="0" w:color="000000"/>
            </w:tcBorders>
          </w:tcPr>
          <w:p w:rsidR="00B96861" w:rsidRDefault="00B96861">
            <w:pPr>
              <w:widowControl w:val="0"/>
              <w:rPr>
                <w:sz w:val="18"/>
                <w:szCs w:val="18"/>
              </w:rPr>
            </w:pPr>
          </w:p>
        </w:tc>
        <w:tc>
          <w:tcPr>
            <w:tcW w:w="6341" w:type="dxa"/>
            <w:tcBorders>
              <w:top w:val="single" w:sz="4" w:space="0" w:color="000000"/>
              <w:left w:val="single" w:sz="4" w:space="0" w:color="000000"/>
              <w:bottom w:val="single" w:sz="4" w:space="0" w:color="000000"/>
              <w:right w:val="single" w:sz="4" w:space="0" w:color="000000"/>
            </w:tcBorders>
          </w:tcPr>
          <w:p w:rsidR="00B96861" w:rsidRDefault="00D333A7">
            <w:pPr>
              <w:widowControl w:val="0"/>
              <w:rPr>
                <w:sz w:val="18"/>
                <w:szCs w:val="18"/>
              </w:rPr>
            </w:pPr>
            <w:r>
              <w:rPr>
                <w:sz w:val="18"/>
                <w:szCs w:val="18"/>
              </w:rPr>
              <w:t xml:space="preserve">Infrastruktura EYE </w:t>
            </w:r>
            <w:proofErr w:type="spellStart"/>
            <w:r>
              <w:rPr>
                <w:sz w:val="18"/>
                <w:szCs w:val="18"/>
              </w:rPr>
              <w:t>tracking</w:t>
            </w:r>
            <w:proofErr w:type="spellEnd"/>
            <w:r>
              <w:rPr>
                <w:sz w:val="18"/>
                <w:szCs w:val="18"/>
              </w:rPr>
              <w:t xml:space="preserve"> - sustava za </w:t>
            </w:r>
            <w:proofErr w:type="spellStart"/>
            <w:r>
              <w:rPr>
                <w:sz w:val="18"/>
                <w:szCs w:val="18"/>
              </w:rPr>
              <w:t>pracenje</w:t>
            </w:r>
            <w:proofErr w:type="spellEnd"/>
            <w:r>
              <w:rPr>
                <w:sz w:val="18"/>
                <w:szCs w:val="18"/>
              </w:rPr>
              <w:t xml:space="preserve"> pogleda s pripadajućom programskom podrškom</w:t>
            </w:r>
          </w:p>
        </w:tc>
        <w:tc>
          <w:tcPr>
            <w:tcW w:w="4007" w:type="dxa"/>
            <w:tcBorders>
              <w:top w:val="single" w:sz="4" w:space="0" w:color="000000"/>
              <w:left w:val="single" w:sz="4" w:space="0" w:color="000000"/>
              <w:bottom w:val="single" w:sz="4" w:space="0" w:color="000000"/>
              <w:right w:val="single" w:sz="4" w:space="0" w:color="000000"/>
            </w:tcBorders>
          </w:tcPr>
          <w:p w:rsidR="00B96861" w:rsidRDefault="00B96861">
            <w:pPr>
              <w:widowControl w:val="0"/>
              <w:rPr>
                <w:sz w:val="18"/>
                <w:szCs w:val="18"/>
              </w:rPr>
            </w:pPr>
          </w:p>
        </w:tc>
        <w:tc>
          <w:tcPr>
            <w:tcW w:w="572" w:type="dxa"/>
            <w:tcBorders>
              <w:top w:val="single" w:sz="4" w:space="0" w:color="000000"/>
              <w:left w:val="single" w:sz="4" w:space="0" w:color="000000"/>
              <w:bottom w:val="single" w:sz="4" w:space="0" w:color="000000"/>
              <w:right w:val="single" w:sz="4" w:space="0" w:color="000000"/>
            </w:tcBorders>
          </w:tcPr>
          <w:p w:rsidR="00B96861" w:rsidRDefault="00B96861">
            <w:pPr>
              <w:widowControl w:val="0"/>
              <w:rPr>
                <w:sz w:val="18"/>
                <w:szCs w:val="18"/>
              </w:rPr>
            </w:pPr>
          </w:p>
        </w:tc>
      </w:tr>
      <w:tr w:rsidR="00B96861">
        <w:trPr>
          <w:jc w:val="center"/>
        </w:trPr>
        <w:tc>
          <w:tcPr>
            <w:tcW w:w="704" w:type="dxa"/>
            <w:tcBorders>
              <w:top w:val="single" w:sz="4" w:space="0" w:color="000000"/>
              <w:left w:val="single" w:sz="4" w:space="0" w:color="000000"/>
              <w:bottom w:val="single" w:sz="4" w:space="0" w:color="000000"/>
              <w:right w:val="single" w:sz="4" w:space="0" w:color="000000"/>
            </w:tcBorders>
          </w:tcPr>
          <w:p w:rsidR="00B96861" w:rsidRDefault="00D333A7">
            <w:pPr>
              <w:widowControl w:val="0"/>
              <w:rPr>
                <w:sz w:val="18"/>
                <w:szCs w:val="18"/>
              </w:rPr>
            </w:pPr>
            <w:r>
              <w:rPr>
                <w:sz w:val="18"/>
                <w:szCs w:val="18"/>
              </w:rPr>
              <w:t>1.1</w:t>
            </w:r>
          </w:p>
        </w:tc>
        <w:tc>
          <w:tcPr>
            <w:tcW w:w="1559" w:type="dxa"/>
            <w:tcBorders>
              <w:top w:val="single" w:sz="4" w:space="0" w:color="000000"/>
              <w:left w:val="single" w:sz="4" w:space="0" w:color="000000"/>
              <w:bottom w:val="single" w:sz="4" w:space="0" w:color="000000"/>
              <w:right w:val="single" w:sz="4" w:space="0" w:color="000000"/>
            </w:tcBorders>
          </w:tcPr>
          <w:p w:rsidR="00B96861" w:rsidRDefault="00D333A7">
            <w:pPr>
              <w:widowControl w:val="0"/>
              <w:rPr>
                <w:sz w:val="18"/>
                <w:szCs w:val="18"/>
              </w:rPr>
            </w:pPr>
            <w:r>
              <w:rPr>
                <w:sz w:val="18"/>
                <w:szCs w:val="18"/>
              </w:rPr>
              <w:t>Zaslonski uređaj za praćenje pogleda.</w:t>
            </w:r>
          </w:p>
        </w:tc>
        <w:tc>
          <w:tcPr>
            <w:tcW w:w="6341" w:type="dxa"/>
            <w:tcBorders>
              <w:top w:val="single" w:sz="4" w:space="0" w:color="000000"/>
              <w:left w:val="single" w:sz="4" w:space="0" w:color="000000"/>
              <w:bottom w:val="single" w:sz="4" w:space="0" w:color="000000"/>
              <w:right w:val="single" w:sz="4" w:space="0" w:color="000000"/>
            </w:tcBorders>
          </w:tcPr>
          <w:p w:rsidR="00B96861" w:rsidRDefault="00D333A7">
            <w:pPr>
              <w:widowControl w:val="0"/>
              <w:rPr>
                <w:sz w:val="18"/>
                <w:szCs w:val="18"/>
              </w:rPr>
            </w:pPr>
            <w:r>
              <w:rPr>
                <w:sz w:val="18"/>
                <w:szCs w:val="18"/>
              </w:rPr>
              <w:t xml:space="preserve">Tehnologija praćenja: Praćenje temeljeno na refleksiji zjenice i rožnice, uz podršku za </w:t>
            </w:r>
            <w:proofErr w:type="spellStart"/>
            <w:r>
              <w:rPr>
                <w:sz w:val="18"/>
                <w:szCs w:val="18"/>
              </w:rPr>
              <w:t>Dark</w:t>
            </w:r>
            <w:proofErr w:type="spellEnd"/>
            <w:r>
              <w:rPr>
                <w:sz w:val="18"/>
                <w:szCs w:val="18"/>
              </w:rPr>
              <w:t xml:space="preserve"> i</w:t>
            </w:r>
          </w:p>
          <w:p w:rsidR="00B96861" w:rsidRDefault="00D333A7">
            <w:pPr>
              <w:widowControl w:val="0"/>
              <w:rPr>
                <w:sz w:val="18"/>
                <w:szCs w:val="18"/>
              </w:rPr>
            </w:pPr>
            <w:proofErr w:type="spellStart"/>
            <w:r>
              <w:rPr>
                <w:sz w:val="18"/>
                <w:szCs w:val="18"/>
              </w:rPr>
              <w:t>Bright</w:t>
            </w:r>
            <w:proofErr w:type="spellEnd"/>
            <w:r>
              <w:rPr>
                <w:sz w:val="18"/>
                <w:szCs w:val="18"/>
              </w:rPr>
              <w:t xml:space="preserve"> </w:t>
            </w:r>
            <w:proofErr w:type="spellStart"/>
            <w:r>
              <w:rPr>
                <w:sz w:val="18"/>
                <w:szCs w:val="18"/>
              </w:rPr>
              <w:t>pupil</w:t>
            </w:r>
            <w:proofErr w:type="spellEnd"/>
            <w:r>
              <w:rPr>
                <w:sz w:val="18"/>
                <w:szCs w:val="18"/>
              </w:rPr>
              <w:t xml:space="preserve"> načine osvjetljenja.</w:t>
            </w:r>
          </w:p>
          <w:p w:rsidR="00B96861" w:rsidRDefault="00D333A7">
            <w:pPr>
              <w:widowControl w:val="0"/>
              <w:rPr>
                <w:sz w:val="18"/>
                <w:szCs w:val="18"/>
              </w:rPr>
            </w:pPr>
            <w:r>
              <w:rPr>
                <w:sz w:val="18"/>
                <w:szCs w:val="18"/>
              </w:rPr>
              <w:t>Podržana veličina zaslona: Do 27 inča.</w:t>
            </w:r>
          </w:p>
          <w:p w:rsidR="00B96861" w:rsidRDefault="00D333A7">
            <w:pPr>
              <w:widowControl w:val="0"/>
              <w:rPr>
                <w:sz w:val="18"/>
                <w:szCs w:val="18"/>
              </w:rPr>
            </w:pPr>
            <w:r>
              <w:rPr>
                <w:sz w:val="18"/>
                <w:szCs w:val="18"/>
              </w:rPr>
              <w:t>Frekvencija uzorkovanja: Minimalno 60 Hz.</w:t>
            </w:r>
          </w:p>
          <w:p w:rsidR="00B96861" w:rsidRDefault="00D333A7">
            <w:pPr>
              <w:widowControl w:val="0"/>
              <w:rPr>
                <w:sz w:val="18"/>
                <w:szCs w:val="18"/>
              </w:rPr>
            </w:pPr>
            <w:r>
              <w:rPr>
                <w:sz w:val="18"/>
                <w:szCs w:val="18"/>
              </w:rPr>
              <w:t>Točnost (</w:t>
            </w:r>
            <w:proofErr w:type="spellStart"/>
            <w:r>
              <w:rPr>
                <w:sz w:val="18"/>
                <w:szCs w:val="18"/>
              </w:rPr>
              <w:t>accuracy</w:t>
            </w:r>
            <w:proofErr w:type="spellEnd"/>
            <w:r>
              <w:rPr>
                <w:sz w:val="18"/>
                <w:szCs w:val="18"/>
              </w:rPr>
              <w:t>): 0,45° ili bolja, u idealnim uvjetima.</w:t>
            </w:r>
          </w:p>
          <w:p w:rsidR="00B96861" w:rsidRDefault="00D333A7">
            <w:pPr>
              <w:widowControl w:val="0"/>
              <w:rPr>
                <w:sz w:val="18"/>
                <w:szCs w:val="18"/>
              </w:rPr>
            </w:pPr>
            <w:r>
              <w:rPr>
                <w:sz w:val="18"/>
                <w:szCs w:val="18"/>
              </w:rPr>
              <w:t>Preciznost (</w:t>
            </w:r>
            <w:proofErr w:type="spellStart"/>
            <w:r>
              <w:rPr>
                <w:sz w:val="18"/>
                <w:szCs w:val="18"/>
              </w:rPr>
              <w:t>precision</w:t>
            </w:r>
            <w:proofErr w:type="spellEnd"/>
            <w:r>
              <w:rPr>
                <w:sz w:val="18"/>
                <w:szCs w:val="18"/>
              </w:rPr>
              <w:t>): 0,26° RMS ili bolja, u idealnim uvjetima.</w:t>
            </w:r>
          </w:p>
          <w:p w:rsidR="00B96861" w:rsidRDefault="00D333A7">
            <w:pPr>
              <w:widowControl w:val="0"/>
              <w:rPr>
                <w:sz w:val="18"/>
                <w:szCs w:val="18"/>
              </w:rPr>
            </w:pPr>
            <w:r>
              <w:rPr>
                <w:sz w:val="18"/>
                <w:szCs w:val="18"/>
              </w:rPr>
              <w:t>Sloboda pomicanja glave (na udaljenosti od 80 cm): Minimalno 35 cm × 35 cm, uz praćenje</w:t>
            </w:r>
          </w:p>
          <w:p w:rsidR="00B96861" w:rsidRDefault="00D333A7">
            <w:pPr>
              <w:widowControl w:val="0"/>
              <w:rPr>
                <w:sz w:val="18"/>
                <w:szCs w:val="18"/>
              </w:rPr>
            </w:pPr>
            <w:r>
              <w:rPr>
                <w:sz w:val="18"/>
                <w:szCs w:val="18"/>
              </w:rPr>
              <w:t>najmanje jednog oka.</w:t>
            </w:r>
          </w:p>
          <w:p w:rsidR="00B96861" w:rsidRDefault="00D333A7">
            <w:pPr>
              <w:widowControl w:val="0"/>
              <w:rPr>
                <w:sz w:val="18"/>
                <w:szCs w:val="18"/>
              </w:rPr>
            </w:pPr>
            <w:r>
              <w:rPr>
                <w:sz w:val="18"/>
                <w:szCs w:val="18"/>
              </w:rPr>
              <w:t>Radna udaljenost: Do 95 cm od uređaja.</w:t>
            </w:r>
          </w:p>
        </w:tc>
        <w:tc>
          <w:tcPr>
            <w:tcW w:w="4007" w:type="dxa"/>
            <w:tcBorders>
              <w:top w:val="single" w:sz="4" w:space="0" w:color="000000"/>
              <w:left w:val="single" w:sz="4" w:space="0" w:color="000000"/>
              <w:bottom w:val="single" w:sz="4" w:space="0" w:color="000000"/>
              <w:right w:val="single" w:sz="4" w:space="0" w:color="000000"/>
            </w:tcBorders>
          </w:tcPr>
          <w:p w:rsidR="00B96861" w:rsidRDefault="00B96861">
            <w:pPr>
              <w:widowControl w:val="0"/>
              <w:rPr>
                <w:sz w:val="18"/>
                <w:szCs w:val="18"/>
              </w:rPr>
            </w:pPr>
          </w:p>
        </w:tc>
        <w:tc>
          <w:tcPr>
            <w:tcW w:w="572" w:type="dxa"/>
            <w:tcBorders>
              <w:top w:val="single" w:sz="4" w:space="0" w:color="000000"/>
              <w:left w:val="single" w:sz="4" w:space="0" w:color="000000"/>
              <w:bottom w:val="single" w:sz="4" w:space="0" w:color="000000"/>
              <w:right w:val="single" w:sz="4" w:space="0" w:color="000000"/>
            </w:tcBorders>
          </w:tcPr>
          <w:p w:rsidR="00B96861" w:rsidRDefault="00D333A7">
            <w:pPr>
              <w:widowControl w:val="0"/>
              <w:rPr>
                <w:sz w:val="18"/>
                <w:szCs w:val="18"/>
              </w:rPr>
            </w:pPr>
            <w:r>
              <w:rPr>
                <w:sz w:val="18"/>
                <w:szCs w:val="18"/>
              </w:rPr>
              <w:t xml:space="preserve">2 </w:t>
            </w:r>
            <w:proofErr w:type="spellStart"/>
            <w:r>
              <w:rPr>
                <w:sz w:val="18"/>
                <w:szCs w:val="18"/>
              </w:rPr>
              <w:t>kpl</w:t>
            </w:r>
            <w:proofErr w:type="spellEnd"/>
          </w:p>
        </w:tc>
      </w:tr>
      <w:tr w:rsidR="00B96861">
        <w:trPr>
          <w:jc w:val="center"/>
        </w:trPr>
        <w:tc>
          <w:tcPr>
            <w:tcW w:w="704" w:type="dxa"/>
            <w:tcBorders>
              <w:top w:val="single" w:sz="4" w:space="0" w:color="000000"/>
              <w:left w:val="single" w:sz="4" w:space="0" w:color="000000"/>
              <w:bottom w:val="single" w:sz="4" w:space="0" w:color="000000"/>
              <w:right w:val="single" w:sz="4" w:space="0" w:color="000000"/>
            </w:tcBorders>
          </w:tcPr>
          <w:p w:rsidR="00B96861" w:rsidRDefault="00D333A7">
            <w:pPr>
              <w:widowControl w:val="0"/>
              <w:rPr>
                <w:sz w:val="18"/>
                <w:szCs w:val="18"/>
              </w:rPr>
            </w:pPr>
            <w:r>
              <w:rPr>
                <w:sz w:val="18"/>
                <w:szCs w:val="18"/>
              </w:rPr>
              <w:t>1.2</w:t>
            </w:r>
          </w:p>
        </w:tc>
        <w:tc>
          <w:tcPr>
            <w:tcW w:w="1559" w:type="dxa"/>
            <w:tcBorders>
              <w:top w:val="single" w:sz="4" w:space="0" w:color="000000"/>
              <w:left w:val="single" w:sz="4" w:space="0" w:color="000000"/>
              <w:bottom w:val="single" w:sz="4" w:space="0" w:color="000000"/>
              <w:right w:val="single" w:sz="4" w:space="0" w:color="000000"/>
            </w:tcBorders>
          </w:tcPr>
          <w:p w:rsidR="00B96861" w:rsidRDefault="00D333A7">
            <w:pPr>
              <w:widowControl w:val="0"/>
              <w:rPr>
                <w:sz w:val="18"/>
                <w:szCs w:val="18"/>
              </w:rPr>
            </w:pPr>
            <w:r>
              <w:rPr>
                <w:sz w:val="18"/>
                <w:szCs w:val="18"/>
              </w:rPr>
              <w:t>Naočale - naglavni, lagani nosivi uređaj za praćenje pogleda.</w:t>
            </w:r>
          </w:p>
        </w:tc>
        <w:tc>
          <w:tcPr>
            <w:tcW w:w="6341" w:type="dxa"/>
            <w:tcBorders>
              <w:top w:val="single" w:sz="4" w:space="0" w:color="000000"/>
              <w:left w:val="single" w:sz="4" w:space="0" w:color="000000"/>
              <w:bottom w:val="single" w:sz="4" w:space="0" w:color="000000"/>
              <w:right w:val="single" w:sz="4" w:space="0" w:color="000000"/>
            </w:tcBorders>
          </w:tcPr>
          <w:p w:rsidR="00B96861" w:rsidRDefault="00D333A7">
            <w:pPr>
              <w:widowControl w:val="0"/>
              <w:rPr>
                <w:sz w:val="18"/>
                <w:szCs w:val="18"/>
              </w:rPr>
            </w:pPr>
            <w:r>
              <w:rPr>
                <w:sz w:val="18"/>
                <w:szCs w:val="18"/>
              </w:rPr>
              <w:t xml:space="preserve">Pozicija senzora: Senzori za praćenje pogleda i </w:t>
            </w:r>
            <w:proofErr w:type="spellStart"/>
            <w:r>
              <w:rPr>
                <w:sz w:val="18"/>
                <w:szCs w:val="18"/>
              </w:rPr>
              <w:t>iluminatori</w:t>
            </w:r>
            <w:proofErr w:type="spellEnd"/>
            <w:r>
              <w:rPr>
                <w:sz w:val="18"/>
                <w:szCs w:val="18"/>
              </w:rPr>
              <w:t xml:space="preserve"> moraju biti integrirani izravno u</w:t>
            </w:r>
          </w:p>
          <w:p w:rsidR="00B96861" w:rsidRDefault="00D333A7">
            <w:pPr>
              <w:widowControl w:val="0"/>
              <w:rPr>
                <w:sz w:val="18"/>
                <w:szCs w:val="18"/>
              </w:rPr>
            </w:pPr>
            <w:r>
              <w:rPr>
                <w:sz w:val="18"/>
                <w:szCs w:val="18"/>
              </w:rPr>
              <w:t>leće.</w:t>
            </w:r>
          </w:p>
          <w:p w:rsidR="00B96861" w:rsidRDefault="00D333A7">
            <w:pPr>
              <w:widowControl w:val="0"/>
              <w:rPr>
                <w:sz w:val="18"/>
                <w:szCs w:val="18"/>
              </w:rPr>
            </w:pPr>
            <w:r>
              <w:rPr>
                <w:sz w:val="18"/>
                <w:szCs w:val="18"/>
              </w:rPr>
              <w:t>Broj kamera za oči: Minimalno 4 kamere (2 po oku).</w:t>
            </w:r>
          </w:p>
          <w:p w:rsidR="00B96861" w:rsidRDefault="00D333A7">
            <w:pPr>
              <w:widowControl w:val="0"/>
              <w:rPr>
                <w:sz w:val="18"/>
                <w:szCs w:val="18"/>
              </w:rPr>
            </w:pPr>
            <w:r>
              <w:rPr>
                <w:sz w:val="18"/>
                <w:szCs w:val="18"/>
              </w:rPr>
              <w:t xml:space="preserve">Kalibracija: </w:t>
            </w:r>
            <w:proofErr w:type="spellStart"/>
            <w:r>
              <w:rPr>
                <w:sz w:val="18"/>
                <w:szCs w:val="18"/>
              </w:rPr>
              <w:t>Jednotočkasta</w:t>
            </w:r>
            <w:proofErr w:type="spellEnd"/>
            <w:r>
              <w:rPr>
                <w:sz w:val="18"/>
                <w:szCs w:val="18"/>
              </w:rPr>
              <w:t xml:space="preserve"> ili automatska.</w:t>
            </w:r>
          </w:p>
          <w:p w:rsidR="00B96861" w:rsidRDefault="00D333A7">
            <w:pPr>
              <w:widowControl w:val="0"/>
              <w:rPr>
                <w:sz w:val="18"/>
                <w:szCs w:val="18"/>
              </w:rPr>
            </w:pPr>
            <w:r>
              <w:rPr>
                <w:sz w:val="18"/>
                <w:szCs w:val="18"/>
              </w:rPr>
              <w:t>Kompenzacija klizanja (</w:t>
            </w:r>
            <w:proofErr w:type="spellStart"/>
            <w:r>
              <w:rPr>
                <w:sz w:val="18"/>
                <w:szCs w:val="18"/>
              </w:rPr>
              <w:t>slippage</w:t>
            </w:r>
            <w:proofErr w:type="spellEnd"/>
            <w:r>
              <w:rPr>
                <w:sz w:val="18"/>
                <w:szCs w:val="18"/>
              </w:rPr>
              <w:t xml:space="preserve"> </w:t>
            </w:r>
            <w:proofErr w:type="spellStart"/>
            <w:r>
              <w:rPr>
                <w:sz w:val="18"/>
                <w:szCs w:val="18"/>
              </w:rPr>
              <w:t>compensation</w:t>
            </w:r>
            <w:proofErr w:type="spellEnd"/>
            <w:r>
              <w:rPr>
                <w:sz w:val="18"/>
                <w:szCs w:val="18"/>
              </w:rPr>
              <w:t>): Podržana.</w:t>
            </w:r>
          </w:p>
          <w:p w:rsidR="00B96861" w:rsidRDefault="00D333A7">
            <w:pPr>
              <w:widowControl w:val="0"/>
              <w:rPr>
                <w:sz w:val="18"/>
                <w:szCs w:val="18"/>
              </w:rPr>
            </w:pPr>
            <w:r>
              <w:rPr>
                <w:sz w:val="18"/>
                <w:szCs w:val="18"/>
              </w:rPr>
              <w:t>Kompenzacija paralakse: Automatska.</w:t>
            </w:r>
          </w:p>
          <w:p w:rsidR="00B96861" w:rsidRDefault="00D333A7">
            <w:pPr>
              <w:widowControl w:val="0"/>
              <w:rPr>
                <w:sz w:val="18"/>
                <w:szCs w:val="18"/>
              </w:rPr>
            </w:pPr>
            <w:r>
              <w:rPr>
                <w:sz w:val="18"/>
                <w:szCs w:val="18"/>
              </w:rPr>
              <w:t>Frekvencija uzorkovanja praćenja pogleda: Minimalno 50 Hz.</w:t>
            </w:r>
          </w:p>
          <w:p w:rsidR="00B96861" w:rsidRDefault="00D333A7">
            <w:pPr>
              <w:widowControl w:val="0"/>
              <w:rPr>
                <w:sz w:val="18"/>
                <w:szCs w:val="18"/>
              </w:rPr>
            </w:pPr>
            <w:r>
              <w:rPr>
                <w:sz w:val="18"/>
                <w:szCs w:val="18"/>
              </w:rPr>
              <w:t>Vidno polje kamere za scenu: Minimalno 90° horizontalno i 60° vertikalno.</w:t>
            </w:r>
          </w:p>
          <w:p w:rsidR="00B96861" w:rsidRDefault="00D333A7">
            <w:pPr>
              <w:widowControl w:val="0"/>
              <w:rPr>
                <w:sz w:val="18"/>
                <w:szCs w:val="18"/>
              </w:rPr>
            </w:pPr>
            <w:r>
              <w:rPr>
                <w:sz w:val="18"/>
                <w:szCs w:val="18"/>
              </w:rPr>
              <w:t xml:space="preserve">Video rezolucija kamere za scenu: Minimalno 1920 × 1080 pri 24 </w:t>
            </w:r>
            <w:proofErr w:type="spellStart"/>
            <w:r>
              <w:rPr>
                <w:sz w:val="18"/>
                <w:szCs w:val="18"/>
              </w:rPr>
              <w:t>fps</w:t>
            </w:r>
            <w:proofErr w:type="spellEnd"/>
            <w:r>
              <w:rPr>
                <w:sz w:val="18"/>
                <w:szCs w:val="18"/>
              </w:rPr>
              <w:t>.</w:t>
            </w:r>
          </w:p>
          <w:p w:rsidR="00B96861" w:rsidRDefault="00D333A7">
            <w:pPr>
              <w:widowControl w:val="0"/>
              <w:rPr>
                <w:sz w:val="18"/>
                <w:szCs w:val="18"/>
              </w:rPr>
            </w:pPr>
            <w:r>
              <w:rPr>
                <w:sz w:val="18"/>
                <w:szCs w:val="18"/>
              </w:rPr>
              <w:t>Masa (naglavna jedinica): Maksimalno 80 g (uključujući kabel), radi osiguranja prirodnog</w:t>
            </w:r>
          </w:p>
          <w:p w:rsidR="00B96861" w:rsidRDefault="00D333A7">
            <w:pPr>
              <w:widowControl w:val="0"/>
              <w:rPr>
                <w:sz w:val="18"/>
                <w:szCs w:val="18"/>
              </w:rPr>
            </w:pPr>
            <w:r>
              <w:rPr>
                <w:sz w:val="18"/>
                <w:szCs w:val="18"/>
              </w:rPr>
              <w:t>ponašanja ispitanika.</w:t>
            </w:r>
          </w:p>
          <w:p w:rsidR="00B96861" w:rsidRDefault="00D333A7">
            <w:pPr>
              <w:widowControl w:val="0"/>
              <w:rPr>
                <w:sz w:val="18"/>
                <w:szCs w:val="18"/>
              </w:rPr>
            </w:pPr>
            <w:r>
              <w:rPr>
                <w:sz w:val="18"/>
                <w:szCs w:val="18"/>
              </w:rPr>
              <w:t>Pohrana podataka: Podaci se moraju pohranjivati na SD karticu u jedinici za snimanje</w:t>
            </w:r>
          </w:p>
          <w:p w:rsidR="00B96861" w:rsidRDefault="00D333A7">
            <w:pPr>
              <w:widowControl w:val="0"/>
              <w:rPr>
                <w:sz w:val="18"/>
                <w:szCs w:val="18"/>
              </w:rPr>
            </w:pPr>
            <w:r>
              <w:rPr>
                <w:sz w:val="18"/>
                <w:szCs w:val="18"/>
              </w:rPr>
              <w:t>(neovisno o povezivanju s računalom).</w:t>
            </w:r>
          </w:p>
          <w:p w:rsidR="00B96861" w:rsidRDefault="00D333A7">
            <w:pPr>
              <w:widowControl w:val="0"/>
              <w:rPr>
                <w:sz w:val="18"/>
                <w:szCs w:val="18"/>
              </w:rPr>
            </w:pPr>
            <w:r>
              <w:rPr>
                <w:sz w:val="18"/>
                <w:szCs w:val="18"/>
              </w:rPr>
              <w:t xml:space="preserve">Integrirani senzori (IMU): </w:t>
            </w:r>
            <w:proofErr w:type="spellStart"/>
            <w:r>
              <w:rPr>
                <w:sz w:val="18"/>
                <w:szCs w:val="18"/>
              </w:rPr>
              <w:t>Akcelerometar</w:t>
            </w:r>
            <w:proofErr w:type="spellEnd"/>
            <w:r>
              <w:rPr>
                <w:sz w:val="18"/>
                <w:szCs w:val="18"/>
              </w:rPr>
              <w:t xml:space="preserve">, žiroskop i </w:t>
            </w:r>
            <w:proofErr w:type="spellStart"/>
            <w:r>
              <w:rPr>
                <w:sz w:val="18"/>
                <w:szCs w:val="18"/>
              </w:rPr>
              <w:t>magnetometar</w:t>
            </w:r>
            <w:proofErr w:type="spellEnd"/>
            <w:r>
              <w:rPr>
                <w:sz w:val="18"/>
                <w:szCs w:val="18"/>
              </w:rPr>
              <w:t>.</w:t>
            </w:r>
          </w:p>
          <w:p w:rsidR="00B96861" w:rsidRDefault="00D333A7">
            <w:pPr>
              <w:widowControl w:val="0"/>
              <w:rPr>
                <w:sz w:val="18"/>
                <w:szCs w:val="18"/>
              </w:rPr>
            </w:pPr>
            <w:r>
              <w:rPr>
                <w:sz w:val="18"/>
                <w:szCs w:val="18"/>
              </w:rPr>
              <w:t>Sinkronizacija: Jedinica za snimanje mora podržavati TTL sinkronizaciju.</w:t>
            </w:r>
          </w:p>
        </w:tc>
        <w:tc>
          <w:tcPr>
            <w:tcW w:w="4007" w:type="dxa"/>
            <w:tcBorders>
              <w:top w:val="single" w:sz="4" w:space="0" w:color="000000"/>
              <w:left w:val="single" w:sz="4" w:space="0" w:color="000000"/>
              <w:bottom w:val="single" w:sz="4" w:space="0" w:color="000000"/>
              <w:right w:val="single" w:sz="4" w:space="0" w:color="000000"/>
            </w:tcBorders>
          </w:tcPr>
          <w:p w:rsidR="00B96861" w:rsidRDefault="00B96861">
            <w:pPr>
              <w:widowControl w:val="0"/>
              <w:rPr>
                <w:sz w:val="18"/>
                <w:szCs w:val="18"/>
              </w:rPr>
            </w:pPr>
          </w:p>
        </w:tc>
        <w:tc>
          <w:tcPr>
            <w:tcW w:w="572" w:type="dxa"/>
            <w:tcBorders>
              <w:top w:val="single" w:sz="4" w:space="0" w:color="000000"/>
              <w:left w:val="single" w:sz="4" w:space="0" w:color="000000"/>
              <w:bottom w:val="single" w:sz="4" w:space="0" w:color="000000"/>
              <w:right w:val="single" w:sz="4" w:space="0" w:color="000000"/>
            </w:tcBorders>
          </w:tcPr>
          <w:p w:rsidR="00B96861" w:rsidRDefault="00D333A7">
            <w:pPr>
              <w:widowControl w:val="0"/>
              <w:rPr>
                <w:sz w:val="18"/>
                <w:szCs w:val="18"/>
              </w:rPr>
            </w:pPr>
            <w:r>
              <w:rPr>
                <w:sz w:val="18"/>
                <w:szCs w:val="18"/>
              </w:rPr>
              <w:t xml:space="preserve">1 </w:t>
            </w:r>
            <w:proofErr w:type="spellStart"/>
            <w:r>
              <w:rPr>
                <w:sz w:val="18"/>
                <w:szCs w:val="18"/>
              </w:rPr>
              <w:t>kpl</w:t>
            </w:r>
            <w:proofErr w:type="spellEnd"/>
          </w:p>
        </w:tc>
      </w:tr>
      <w:tr w:rsidR="00B96861">
        <w:trPr>
          <w:jc w:val="center"/>
        </w:trPr>
        <w:tc>
          <w:tcPr>
            <w:tcW w:w="704" w:type="dxa"/>
            <w:tcBorders>
              <w:top w:val="single" w:sz="4" w:space="0" w:color="000000"/>
              <w:left w:val="single" w:sz="4" w:space="0" w:color="000000"/>
              <w:bottom w:val="single" w:sz="4" w:space="0" w:color="000000"/>
              <w:right w:val="single" w:sz="4" w:space="0" w:color="000000"/>
            </w:tcBorders>
          </w:tcPr>
          <w:p w:rsidR="00B96861" w:rsidRDefault="00D333A7">
            <w:pPr>
              <w:widowControl w:val="0"/>
              <w:rPr>
                <w:sz w:val="18"/>
                <w:szCs w:val="18"/>
              </w:rPr>
            </w:pPr>
            <w:r>
              <w:rPr>
                <w:sz w:val="18"/>
                <w:szCs w:val="18"/>
              </w:rPr>
              <w:t>1.3</w:t>
            </w:r>
          </w:p>
        </w:tc>
        <w:tc>
          <w:tcPr>
            <w:tcW w:w="1559" w:type="dxa"/>
            <w:tcBorders>
              <w:top w:val="single" w:sz="4" w:space="0" w:color="000000"/>
              <w:left w:val="single" w:sz="4" w:space="0" w:color="000000"/>
              <w:bottom w:val="single" w:sz="4" w:space="0" w:color="000000"/>
              <w:right w:val="single" w:sz="4" w:space="0" w:color="000000"/>
            </w:tcBorders>
          </w:tcPr>
          <w:p w:rsidR="00B96861" w:rsidRDefault="00D333A7">
            <w:pPr>
              <w:widowControl w:val="0"/>
              <w:rPr>
                <w:sz w:val="18"/>
                <w:szCs w:val="18"/>
              </w:rPr>
            </w:pPr>
            <w:r>
              <w:rPr>
                <w:sz w:val="18"/>
                <w:szCs w:val="18"/>
              </w:rPr>
              <w:t>Programska podrška za istraživanja praćenja pogleda (</w:t>
            </w:r>
            <w:proofErr w:type="spellStart"/>
            <w:r>
              <w:rPr>
                <w:sz w:val="18"/>
                <w:szCs w:val="18"/>
              </w:rPr>
              <w:t>eye-</w:t>
            </w:r>
            <w:r>
              <w:rPr>
                <w:sz w:val="18"/>
                <w:szCs w:val="18"/>
              </w:rPr>
              <w:lastRenderedPageBreak/>
              <w:t>tracking</w:t>
            </w:r>
            <w:proofErr w:type="spellEnd"/>
            <w:r>
              <w:rPr>
                <w:sz w:val="18"/>
                <w:szCs w:val="18"/>
              </w:rPr>
              <w:t>)</w:t>
            </w:r>
          </w:p>
        </w:tc>
        <w:tc>
          <w:tcPr>
            <w:tcW w:w="6341" w:type="dxa"/>
            <w:tcBorders>
              <w:top w:val="single" w:sz="4" w:space="0" w:color="000000"/>
              <w:left w:val="single" w:sz="4" w:space="0" w:color="000000"/>
              <w:bottom w:val="single" w:sz="4" w:space="0" w:color="000000"/>
              <w:right w:val="single" w:sz="4" w:space="0" w:color="000000"/>
            </w:tcBorders>
          </w:tcPr>
          <w:p w:rsidR="00B96861" w:rsidRDefault="00D333A7">
            <w:pPr>
              <w:widowControl w:val="0"/>
              <w:rPr>
                <w:sz w:val="18"/>
                <w:szCs w:val="18"/>
              </w:rPr>
            </w:pPr>
            <w:r>
              <w:rPr>
                <w:sz w:val="18"/>
                <w:szCs w:val="18"/>
              </w:rPr>
              <w:lastRenderedPageBreak/>
              <w:t>Kompatibilnost: Softver mora omogućavati analizu podataka prikupljenih putem zaslonskih (screen-</w:t>
            </w:r>
            <w:proofErr w:type="spellStart"/>
            <w:r>
              <w:rPr>
                <w:sz w:val="18"/>
                <w:szCs w:val="18"/>
              </w:rPr>
              <w:t>based</w:t>
            </w:r>
            <w:proofErr w:type="spellEnd"/>
            <w:r>
              <w:rPr>
                <w:sz w:val="18"/>
                <w:szCs w:val="18"/>
              </w:rPr>
              <w:t>) i nosivih (</w:t>
            </w:r>
            <w:proofErr w:type="spellStart"/>
            <w:r>
              <w:rPr>
                <w:sz w:val="18"/>
                <w:szCs w:val="18"/>
              </w:rPr>
              <w:t>wearable</w:t>
            </w:r>
            <w:proofErr w:type="spellEnd"/>
            <w:r>
              <w:rPr>
                <w:sz w:val="18"/>
                <w:szCs w:val="18"/>
              </w:rPr>
              <w:t xml:space="preserve">) </w:t>
            </w:r>
            <w:proofErr w:type="spellStart"/>
            <w:r>
              <w:rPr>
                <w:sz w:val="18"/>
                <w:szCs w:val="18"/>
              </w:rPr>
              <w:t>eye-tracking</w:t>
            </w:r>
            <w:proofErr w:type="spellEnd"/>
            <w:r>
              <w:rPr>
                <w:sz w:val="18"/>
                <w:szCs w:val="18"/>
              </w:rPr>
              <w:t xml:space="preserve"> uređaja unutar jedinstvenog softverskog rješenja.</w:t>
            </w:r>
          </w:p>
          <w:p w:rsidR="00B96861" w:rsidRDefault="00D333A7">
            <w:pPr>
              <w:widowControl w:val="0"/>
              <w:rPr>
                <w:sz w:val="18"/>
                <w:szCs w:val="18"/>
              </w:rPr>
            </w:pPr>
            <w:r>
              <w:rPr>
                <w:sz w:val="18"/>
                <w:szCs w:val="18"/>
              </w:rPr>
              <w:t>Vrsta licence: Trajna (doživotna) licenca, bez pretplatničkog modela licenciranja.</w:t>
            </w:r>
          </w:p>
          <w:p w:rsidR="00B96861" w:rsidRDefault="00D333A7">
            <w:pPr>
              <w:widowControl w:val="0"/>
              <w:rPr>
                <w:sz w:val="18"/>
                <w:szCs w:val="18"/>
              </w:rPr>
            </w:pPr>
            <w:r>
              <w:rPr>
                <w:sz w:val="18"/>
                <w:szCs w:val="18"/>
              </w:rPr>
              <w:lastRenderedPageBreak/>
              <w:t xml:space="preserve">Model licenciranja: </w:t>
            </w:r>
            <w:proofErr w:type="spellStart"/>
            <w:r>
              <w:rPr>
                <w:sz w:val="18"/>
                <w:szCs w:val="18"/>
              </w:rPr>
              <w:t>Floating</w:t>
            </w:r>
            <w:proofErr w:type="spellEnd"/>
            <w:r>
              <w:rPr>
                <w:sz w:val="18"/>
                <w:szCs w:val="18"/>
              </w:rPr>
              <w:t xml:space="preserve"> licenca koja omogućuje instalaciju softvera na više računala, uz mogućnost prijenosa licence između računala i korisnika.</w:t>
            </w:r>
          </w:p>
          <w:p w:rsidR="00B96861" w:rsidRDefault="00D333A7">
            <w:pPr>
              <w:widowControl w:val="0"/>
              <w:rPr>
                <w:sz w:val="18"/>
                <w:szCs w:val="18"/>
              </w:rPr>
            </w:pPr>
            <w:proofErr w:type="spellStart"/>
            <w:r>
              <w:rPr>
                <w:sz w:val="18"/>
                <w:szCs w:val="18"/>
              </w:rPr>
              <w:t>Mapiranje</w:t>
            </w:r>
            <w:proofErr w:type="spellEnd"/>
            <w:r>
              <w:rPr>
                <w:sz w:val="18"/>
                <w:szCs w:val="18"/>
              </w:rPr>
              <w:t xml:space="preserve"> pogleda: Softver mora uključivati algoritme za </w:t>
            </w:r>
            <w:proofErr w:type="spellStart"/>
            <w:r>
              <w:rPr>
                <w:sz w:val="18"/>
                <w:szCs w:val="18"/>
              </w:rPr>
              <w:t>mapiranje</w:t>
            </w:r>
            <w:proofErr w:type="spellEnd"/>
            <w:r>
              <w:rPr>
                <w:sz w:val="18"/>
                <w:szCs w:val="18"/>
              </w:rPr>
              <w:t xml:space="preserve"> podataka pogleda iz video zapisa na statične referentne slike.</w:t>
            </w:r>
          </w:p>
        </w:tc>
        <w:tc>
          <w:tcPr>
            <w:tcW w:w="4007" w:type="dxa"/>
            <w:tcBorders>
              <w:top w:val="single" w:sz="4" w:space="0" w:color="000000"/>
              <w:left w:val="single" w:sz="4" w:space="0" w:color="000000"/>
              <w:bottom w:val="single" w:sz="4" w:space="0" w:color="000000"/>
              <w:right w:val="single" w:sz="4" w:space="0" w:color="000000"/>
            </w:tcBorders>
          </w:tcPr>
          <w:p w:rsidR="00B96861" w:rsidRDefault="00B96861">
            <w:pPr>
              <w:widowControl w:val="0"/>
              <w:rPr>
                <w:sz w:val="18"/>
                <w:szCs w:val="18"/>
              </w:rPr>
            </w:pPr>
          </w:p>
        </w:tc>
        <w:tc>
          <w:tcPr>
            <w:tcW w:w="572" w:type="dxa"/>
            <w:tcBorders>
              <w:top w:val="single" w:sz="4" w:space="0" w:color="000000"/>
              <w:left w:val="single" w:sz="4" w:space="0" w:color="000000"/>
              <w:bottom w:val="single" w:sz="4" w:space="0" w:color="000000"/>
              <w:right w:val="single" w:sz="4" w:space="0" w:color="000000"/>
            </w:tcBorders>
          </w:tcPr>
          <w:p w:rsidR="00B96861" w:rsidRDefault="00D333A7">
            <w:pPr>
              <w:widowControl w:val="0"/>
              <w:rPr>
                <w:sz w:val="18"/>
                <w:szCs w:val="18"/>
              </w:rPr>
            </w:pPr>
            <w:r>
              <w:rPr>
                <w:sz w:val="18"/>
                <w:szCs w:val="18"/>
              </w:rPr>
              <w:t xml:space="preserve">1 </w:t>
            </w:r>
            <w:proofErr w:type="spellStart"/>
            <w:r>
              <w:rPr>
                <w:sz w:val="18"/>
                <w:szCs w:val="18"/>
              </w:rPr>
              <w:t>kpl</w:t>
            </w:r>
            <w:proofErr w:type="spellEnd"/>
          </w:p>
        </w:tc>
      </w:tr>
    </w:tbl>
    <w:p w:rsidR="00B96861" w:rsidRDefault="00B96861">
      <w:pPr>
        <w:widowControl w:val="0"/>
        <w:spacing w:before="120" w:after="240"/>
        <w:rPr>
          <w:sz w:val="20"/>
          <w:szCs w:val="20"/>
        </w:rPr>
      </w:pPr>
    </w:p>
    <w:p w:rsidR="00B96861" w:rsidRDefault="00C154C7">
      <w:pPr>
        <w:widowControl w:val="0"/>
        <w:spacing w:before="120" w:after="240"/>
        <w:rPr>
          <w:sz w:val="20"/>
          <w:szCs w:val="20"/>
        </w:rPr>
      </w:pPr>
      <w:r w:rsidRPr="00C154C7">
        <w:rPr>
          <w:b/>
          <w:i/>
          <w:sz w:val="20"/>
          <w:szCs w:val="20"/>
          <w:u w:val="single"/>
        </w:rPr>
        <w:t>Napomena:</w:t>
      </w:r>
      <w:r>
        <w:rPr>
          <w:sz w:val="20"/>
          <w:szCs w:val="20"/>
        </w:rPr>
        <w:t xml:space="preserve"> </w:t>
      </w:r>
      <w:r w:rsidRPr="00C154C7">
        <w:rPr>
          <w:sz w:val="20"/>
          <w:szCs w:val="20"/>
        </w:rPr>
        <w:t xml:space="preserve">Navedene tehničke specifikacije predstavljaju minimalne zahtjeve, osim ako nije drugačije navedeno. Zahtjevi označeni kao „minimalno“ ili „najmanje“ predstavljaju donju granicu, dok zahtjevi označeni kao „najviše“, „do“ ili „maksimalno“ predstavljaju gornju dopuštenu granicu. Ponuditelj može ponuditi uređaj koji je ekvivalentan ili nadmašuje tražene karakteristike. Ponuditelj može ponuditi uređaj boljih tehničkih karakteristika od navedenih, pod uvjetom da time ne odstupa od funkcionalne </w:t>
      </w:r>
      <w:bookmarkStart w:id="1" w:name="_GoBack"/>
      <w:bookmarkEnd w:id="1"/>
      <w:r w:rsidRPr="00C154C7">
        <w:rPr>
          <w:sz w:val="20"/>
          <w:szCs w:val="20"/>
        </w:rPr>
        <w:t>namjene uređaja. Dopuštena su isključivo manja tehnička odstupanja koja ne utječu na osnovnu namjenu, kvalitetu, sigurnost i funkcionalnost uređaja.</w:t>
      </w:r>
    </w:p>
    <w:p w:rsidR="00B96861" w:rsidRDefault="00B96861"/>
    <w:sectPr w:rsidR="00B96861">
      <w:headerReference w:type="default" r:id="rId7"/>
      <w:footerReference w:type="default" r:id="rId8"/>
      <w:pgSz w:w="15840" w:h="12240" w:orient="landscape"/>
      <w:pgMar w:top="1701" w:right="814" w:bottom="1134" w:left="1134" w:header="567"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3A47" w:rsidRDefault="00D333A7">
      <w:r>
        <w:separator/>
      </w:r>
    </w:p>
  </w:endnote>
  <w:endnote w:type="continuationSeparator" w:id="0">
    <w:p w:rsidR="00CC3A47" w:rsidRDefault="00D33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27DD0B85-C414-48F6-9188-11D1831929B6}"/>
    <w:embedBold r:id="rId2" w:fontKey="{1AF6C370-0EAD-4E89-9201-E2147C42D55E}"/>
  </w:font>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Bold r:id="rId3" w:fontKey="{32A4816C-ACFE-40C7-925E-B39CE4805916}"/>
  </w:font>
  <w:font w:name="Tahoma">
    <w:panose1 w:val="020B0604030504040204"/>
    <w:charset w:val="00"/>
    <w:family w:val="swiss"/>
    <w:pitch w:val="variable"/>
    <w:sig w:usb0="E1002EFF" w:usb1="C000605B" w:usb2="00000029" w:usb3="00000000" w:csb0="000101FF" w:csb1="00000000"/>
    <w:embedRegular r:id="rId4" w:fontKey="{3A28FA42-8A97-45B7-854A-9CA3D1DAFE48}"/>
  </w:font>
  <w:font w:name="Georgia">
    <w:panose1 w:val="02040502050405020303"/>
    <w:charset w:val="00"/>
    <w:family w:val="roman"/>
    <w:pitch w:val="variable"/>
    <w:sig w:usb0="00000287" w:usb1="00000000" w:usb2="00000000" w:usb3="00000000" w:csb0="0000009F" w:csb1="00000000"/>
    <w:embedItalic r:id="rId5" w:fontKey="{BB00A399-582E-4B4E-A699-E24406CA50C4}"/>
  </w:font>
  <w:font w:name="Calibri Light">
    <w:panose1 w:val="020F0302020204030204"/>
    <w:charset w:val="00"/>
    <w:family w:val="swiss"/>
    <w:pitch w:val="variable"/>
    <w:sig w:usb0="A0002AEF" w:usb1="4000207B" w:usb2="00000000" w:usb3="00000000" w:csb0="000001FF" w:csb1="00000000"/>
    <w:embedRegular r:id="rId6" w:fontKey="{50559A67-310E-49C1-9733-29DFC8AC97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861" w:rsidRDefault="00D333A7">
    <w:pPr>
      <w:pBdr>
        <w:top w:val="nil"/>
        <w:left w:val="nil"/>
        <w:bottom w:val="nil"/>
        <w:right w:val="nil"/>
        <w:between w:val="nil"/>
      </w:pBdr>
      <w:tabs>
        <w:tab w:val="center" w:pos="4703"/>
        <w:tab w:val="right" w:pos="9406"/>
      </w:tabs>
      <w:spacing w:before="240"/>
      <w:rPr>
        <w:color w:val="000000"/>
        <w:sz w:val="20"/>
        <w:szCs w:val="20"/>
      </w:rPr>
    </w:pPr>
    <w:r>
      <w:rPr>
        <w:color w:val="000000"/>
        <w:sz w:val="20"/>
        <w:szCs w:val="20"/>
      </w:rPr>
      <w:t>Sveučilište u Dubrovniku – Branitelja Dubrovnika 41, 20000 Dubrovnik</w:t>
    </w:r>
    <w:r>
      <w:rPr>
        <w:color w:val="000000"/>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1</w:t>
    </w:r>
    <w:r>
      <w:rPr>
        <w:color w:val="000000"/>
        <w:sz w:val="20"/>
        <w:szCs w:val="20"/>
      </w:rPr>
      <w:fldChar w:fldCharType="end"/>
    </w:r>
    <w:r>
      <w:rPr>
        <w:color w:val="000000"/>
        <w:sz w:val="20"/>
        <w:szCs w:val="20"/>
      </w:rPr>
      <w:t xml:space="preserve"> od </w:t>
    </w:r>
    <w:r>
      <w:rPr>
        <w:color w:val="000000"/>
        <w:sz w:val="20"/>
        <w:szCs w:val="20"/>
      </w:rPr>
      <w:fldChar w:fldCharType="begin"/>
    </w:r>
    <w:r>
      <w:rPr>
        <w:color w:val="000000"/>
        <w:sz w:val="20"/>
        <w:szCs w:val="20"/>
      </w:rPr>
      <w:instrText>NUMPAGES</w:instrText>
    </w:r>
    <w:r>
      <w:rPr>
        <w:color w:val="000000"/>
        <w:sz w:val="20"/>
        <w:szCs w:val="20"/>
      </w:rPr>
      <w:fldChar w:fldCharType="separate"/>
    </w:r>
    <w:r>
      <w:rPr>
        <w:noProof/>
        <w:color w:val="000000"/>
        <w:sz w:val="20"/>
        <w:szCs w:val="20"/>
      </w:rPr>
      <w:t>1</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3A47" w:rsidRDefault="00D333A7">
      <w:r>
        <w:separator/>
      </w:r>
    </w:p>
  </w:footnote>
  <w:footnote w:type="continuationSeparator" w:id="0">
    <w:p w:rsidR="00CC3A47" w:rsidRDefault="00D333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6861" w:rsidRDefault="00D333A7">
    <w:pPr>
      <w:tabs>
        <w:tab w:val="left" w:pos="2580"/>
        <w:tab w:val="left" w:pos="2985"/>
      </w:tabs>
      <w:spacing w:after="120"/>
      <w:rPr>
        <w:b/>
        <w:bCs/>
      </w:rPr>
    </w:pPr>
    <w:bookmarkStart w:id="2" w:name="_heading=h.kdu815eo8jqi" w:colFirst="0" w:colLast="0"/>
    <w:bookmarkEnd w:id="2"/>
    <w:r>
      <w:rPr>
        <w:b/>
        <w:bCs/>
      </w:rPr>
      <w:t xml:space="preserve">Tehnička specifikacija </w:t>
    </w:r>
  </w:p>
  <w:p w:rsidR="00B96861" w:rsidRDefault="00D333A7">
    <w:pPr>
      <w:pBdr>
        <w:bottom w:val="single" w:sz="4" w:space="1" w:color="C0C0C0"/>
      </w:pBdr>
      <w:tabs>
        <w:tab w:val="left" w:pos="2580"/>
        <w:tab w:val="left" w:pos="2985"/>
      </w:tabs>
      <w:spacing w:after="120"/>
    </w:pPr>
    <w:r>
      <w:rPr>
        <w:b/>
        <w:bCs/>
      </w:rPr>
      <w:t xml:space="preserve">EYE </w:t>
    </w:r>
    <w:proofErr w:type="spellStart"/>
    <w:r>
      <w:rPr>
        <w:b/>
        <w:bCs/>
      </w:rPr>
      <w:t>tracking</w:t>
    </w:r>
    <w:proofErr w:type="spellEnd"/>
    <w:r>
      <w:rPr>
        <w:b/>
        <w:bCs/>
      </w:rPr>
      <w:t xml:space="preserve"> - sustav za </w:t>
    </w:r>
    <w:proofErr w:type="spellStart"/>
    <w:r>
      <w:rPr>
        <w:b/>
        <w:bCs/>
      </w:rPr>
      <w:t>pracenje</w:t>
    </w:r>
    <w:proofErr w:type="spellEnd"/>
    <w:r>
      <w:rPr>
        <w:b/>
        <w:bCs/>
      </w:rPr>
      <w:t xml:space="preserve"> pogleda s pripadajućom programskom podrškom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6861"/>
    <w:rsid w:val="00B96861"/>
    <w:rsid w:val="00C154C7"/>
    <w:rsid w:val="00CC3A47"/>
    <w:rsid w:val="00D333A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5E0FC"/>
  <w15:docId w15:val="{E5886397-A55F-4B79-AEB5-4B897061C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hr" w:eastAsia="hr-H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120" w:after="120"/>
      <w:jc w:val="both"/>
      <w:outlineLvl w:val="0"/>
    </w:pPr>
    <w:rPr>
      <w:rFonts w:ascii="Calibri" w:eastAsia="Calibri" w:hAnsi="Calibri" w:cs="Calibri"/>
      <w:b/>
      <w:bCs/>
      <w:sz w:val="28"/>
      <w:szCs w:val="28"/>
    </w:rPr>
  </w:style>
  <w:style w:type="paragraph" w:styleId="Heading2">
    <w:name w:val="heading 2"/>
    <w:basedOn w:val="Normal"/>
    <w:next w:val="Normal"/>
    <w:link w:val="Heading2Char"/>
    <w:uiPriority w:val="9"/>
    <w:semiHidden/>
    <w:unhideWhenUsed/>
    <w:qFormat/>
    <w:pPr>
      <w:keepNext/>
      <w:keepLines/>
      <w:outlineLvl w:val="1"/>
    </w:pPr>
    <w:rPr>
      <w:b/>
      <w:bCs/>
    </w:rPr>
  </w:style>
  <w:style w:type="paragraph" w:styleId="Heading3">
    <w:name w:val="heading 3"/>
    <w:basedOn w:val="Normal"/>
    <w:next w:val="Normal"/>
    <w:link w:val="Heading3Char"/>
    <w:uiPriority w:val="9"/>
    <w:semiHidden/>
    <w:unhideWhenUsed/>
    <w:qFormat/>
    <w:pPr>
      <w:keepNext/>
      <w:keepLines/>
      <w:spacing w:before="200" w:after="200"/>
      <w:jc w:val="both"/>
      <w:outlineLvl w:val="2"/>
    </w:pPr>
    <w:rPr>
      <w:b/>
      <w:bCs/>
    </w:rPr>
  </w:style>
  <w:style w:type="paragraph" w:styleId="Heading4">
    <w:name w:val="heading 4"/>
    <w:basedOn w:val="Normal"/>
    <w:next w:val="Normal"/>
    <w:link w:val="Heading4Char"/>
    <w:uiPriority w:val="9"/>
    <w:semiHidden/>
    <w:unhideWhenUsed/>
    <w:qFormat/>
    <w:pPr>
      <w:keepNext/>
      <w:spacing w:before="240" w:after="60"/>
      <w:outlineLvl w:val="3"/>
    </w:pPr>
    <w:rPr>
      <w:rFonts w:ascii="Calibri" w:eastAsia="Calibri" w:hAnsi="Calibri" w:cs="Calibri"/>
      <w:b/>
      <w:bCs/>
      <w:sz w:val="28"/>
      <w:szCs w:val="28"/>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DA1161"/>
    <w:pPr>
      <w:tabs>
        <w:tab w:val="center" w:pos="4703"/>
        <w:tab w:val="right" w:pos="9406"/>
      </w:tabs>
    </w:pPr>
    <w:rPr>
      <w:sz w:val="20"/>
      <w:szCs w:val="20"/>
      <w:lang w:val="x-none" w:eastAsia="x-none"/>
    </w:rPr>
  </w:style>
  <w:style w:type="character" w:customStyle="1" w:styleId="HeaderChar">
    <w:name w:val="Header Char"/>
    <w:link w:val="Header"/>
    <w:uiPriority w:val="99"/>
    <w:rsid w:val="00DA1161"/>
    <w:rPr>
      <w:rFonts w:ascii="Arial" w:hAnsi="Arial"/>
    </w:rPr>
  </w:style>
  <w:style w:type="paragraph" w:styleId="Footer">
    <w:name w:val="footer"/>
    <w:basedOn w:val="Normal"/>
    <w:link w:val="FooterChar"/>
    <w:uiPriority w:val="99"/>
    <w:unhideWhenUsed/>
    <w:rsid w:val="00DA1161"/>
    <w:pPr>
      <w:tabs>
        <w:tab w:val="center" w:pos="4703"/>
        <w:tab w:val="right" w:pos="9406"/>
      </w:tabs>
    </w:pPr>
    <w:rPr>
      <w:sz w:val="20"/>
      <w:szCs w:val="20"/>
      <w:lang w:val="x-none" w:eastAsia="x-none"/>
    </w:rPr>
  </w:style>
  <w:style w:type="character" w:customStyle="1" w:styleId="FooterChar">
    <w:name w:val="Footer Char"/>
    <w:link w:val="Footer"/>
    <w:uiPriority w:val="99"/>
    <w:rsid w:val="00DA1161"/>
    <w:rPr>
      <w:rFonts w:ascii="Arial" w:hAnsi="Arial"/>
    </w:rPr>
  </w:style>
  <w:style w:type="table" w:styleId="TableGrid">
    <w:name w:val="Table Grid"/>
    <w:basedOn w:val="TableNormal"/>
    <w:uiPriority w:val="59"/>
    <w:rsid w:val="00CA76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02485B"/>
    <w:rPr>
      <w:rFonts w:asciiTheme="minorHAnsi" w:hAnsiTheme="minorHAnsi" w:cstheme="minorHAnsi"/>
      <w:b/>
      <w:sz w:val="28"/>
      <w:szCs w:val="24"/>
      <w:lang w:val="hr-HR" w:eastAsia="x-none"/>
    </w:rPr>
  </w:style>
  <w:style w:type="character" w:customStyle="1" w:styleId="Heading2Char">
    <w:name w:val="Heading 2 Char"/>
    <w:link w:val="Heading2"/>
    <w:uiPriority w:val="9"/>
    <w:rsid w:val="00405437"/>
    <w:rPr>
      <w:rFonts w:ascii="Arial" w:hAnsi="Arial"/>
      <w:b/>
      <w:sz w:val="22"/>
      <w:szCs w:val="22"/>
      <w:lang w:eastAsia="x-none"/>
    </w:rPr>
  </w:style>
  <w:style w:type="character" w:customStyle="1" w:styleId="Heading3Char">
    <w:name w:val="Heading 3 Char"/>
    <w:link w:val="Heading3"/>
    <w:uiPriority w:val="9"/>
    <w:rsid w:val="009B3031"/>
    <w:rPr>
      <w:rFonts w:ascii="Arial" w:eastAsia="SimSun" w:hAnsi="Arial"/>
      <w:b/>
      <w:bCs/>
      <w:sz w:val="22"/>
      <w:szCs w:val="22"/>
      <w:lang w:eastAsia="x-none"/>
    </w:rPr>
  </w:style>
  <w:style w:type="paragraph" w:styleId="ListParagraph">
    <w:name w:val="List Paragraph"/>
    <w:basedOn w:val="Normal"/>
    <w:uiPriority w:val="34"/>
    <w:qFormat/>
    <w:rsid w:val="00044493"/>
    <w:pPr>
      <w:ind w:left="720"/>
      <w:contextualSpacing/>
    </w:pPr>
  </w:style>
  <w:style w:type="paragraph" w:styleId="TOCHeading">
    <w:name w:val="TOC Heading"/>
    <w:basedOn w:val="Heading1"/>
    <w:next w:val="Normal"/>
    <w:uiPriority w:val="39"/>
    <w:unhideWhenUsed/>
    <w:qFormat/>
    <w:rsid w:val="007715B8"/>
    <w:pPr>
      <w:spacing w:line="276" w:lineRule="auto"/>
      <w:outlineLvl w:val="9"/>
    </w:pPr>
    <w:rPr>
      <w:rFonts w:ascii="Cambria" w:hAnsi="Cambria"/>
      <w:color w:val="365F91"/>
      <w:lang w:eastAsia="ja-JP"/>
    </w:rPr>
  </w:style>
  <w:style w:type="paragraph" w:styleId="TOC1">
    <w:name w:val="toc 1"/>
    <w:basedOn w:val="Normal"/>
    <w:next w:val="Normal"/>
    <w:autoRedefine/>
    <w:uiPriority w:val="39"/>
    <w:unhideWhenUsed/>
    <w:rsid w:val="007715B8"/>
    <w:pPr>
      <w:spacing w:after="100"/>
    </w:pPr>
  </w:style>
  <w:style w:type="paragraph" w:styleId="TOC2">
    <w:name w:val="toc 2"/>
    <w:basedOn w:val="Normal"/>
    <w:next w:val="Normal"/>
    <w:autoRedefine/>
    <w:uiPriority w:val="39"/>
    <w:unhideWhenUsed/>
    <w:rsid w:val="007715B8"/>
    <w:pPr>
      <w:spacing w:after="100"/>
      <w:ind w:left="220"/>
    </w:pPr>
  </w:style>
  <w:style w:type="paragraph" w:styleId="TOC3">
    <w:name w:val="toc 3"/>
    <w:basedOn w:val="Normal"/>
    <w:next w:val="Normal"/>
    <w:autoRedefine/>
    <w:uiPriority w:val="39"/>
    <w:unhideWhenUsed/>
    <w:rsid w:val="007715B8"/>
    <w:pPr>
      <w:spacing w:after="100"/>
      <w:ind w:left="440"/>
    </w:pPr>
  </w:style>
  <w:style w:type="character" w:styleId="Hyperlink">
    <w:name w:val="Hyperlink"/>
    <w:uiPriority w:val="99"/>
    <w:unhideWhenUsed/>
    <w:rsid w:val="007715B8"/>
    <w:rPr>
      <w:color w:val="0000FF"/>
      <w:u w:val="single"/>
    </w:rPr>
  </w:style>
  <w:style w:type="paragraph" w:styleId="BalloonText">
    <w:name w:val="Balloon Text"/>
    <w:basedOn w:val="Normal"/>
    <w:link w:val="BalloonTextChar"/>
    <w:uiPriority w:val="99"/>
    <w:semiHidden/>
    <w:unhideWhenUsed/>
    <w:rsid w:val="007715B8"/>
    <w:rPr>
      <w:rFonts w:ascii="Tahoma" w:hAnsi="Tahoma"/>
      <w:sz w:val="16"/>
      <w:szCs w:val="16"/>
      <w:lang w:val="x-none" w:eastAsia="x-none"/>
    </w:rPr>
  </w:style>
  <w:style w:type="character" w:customStyle="1" w:styleId="BalloonTextChar">
    <w:name w:val="Balloon Text Char"/>
    <w:link w:val="BalloonText"/>
    <w:uiPriority w:val="99"/>
    <w:semiHidden/>
    <w:rsid w:val="007715B8"/>
    <w:rPr>
      <w:rFonts w:ascii="Tahoma" w:hAnsi="Tahoma" w:cs="Tahoma"/>
      <w:sz w:val="16"/>
      <w:szCs w:val="16"/>
    </w:rPr>
  </w:style>
  <w:style w:type="paragraph" w:customStyle="1" w:styleId="BodyText20">
    <w:name w:val="Body Text 2_0"/>
    <w:basedOn w:val="Normal"/>
    <w:rsid w:val="00680B5F"/>
    <w:pPr>
      <w:jc w:val="center"/>
    </w:pPr>
    <w:rPr>
      <w:rFonts w:eastAsia="Times New Roman"/>
      <w:sz w:val="20"/>
      <w:szCs w:val="20"/>
      <w:lang w:val="hr-HR"/>
    </w:rPr>
  </w:style>
  <w:style w:type="character" w:styleId="Strong">
    <w:name w:val="Strong"/>
    <w:uiPriority w:val="22"/>
    <w:qFormat/>
    <w:rsid w:val="00FE4462"/>
    <w:rPr>
      <w:b/>
      <w:bCs/>
    </w:rPr>
  </w:style>
  <w:style w:type="paragraph" w:customStyle="1" w:styleId="toa">
    <w:name w:val="toa"/>
    <w:basedOn w:val="Normal"/>
    <w:rsid w:val="00FE4462"/>
    <w:pPr>
      <w:widowControl w:val="0"/>
      <w:tabs>
        <w:tab w:val="left" w:pos="9000"/>
        <w:tab w:val="right" w:pos="9360"/>
      </w:tabs>
      <w:suppressAutoHyphens/>
      <w:spacing w:line="276" w:lineRule="auto"/>
      <w:jc w:val="both"/>
    </w:pPr>
    <w:rPr>
      <w:rFonts w:ascii="Times New Roman" w:eastAsia="Times New Roman" w:hAnsi="Times New Roman"/>
      <w:sz w:val="24"/>
      <w:szCs w:val="20"/>
    </w:rPr>
  </w:style>
  <w:style w:type="paragraph" w:customStyle="1" w:styleId="Default">
    <w:name w:val="Default"/>
    <w:rsid w:val="00233F78"/>
    <w:pPr>
      <w:autoSpaceDE w:val="0"/>
      <w:autoSpaceDN w:val="0"/>
      <w:adjustRightInd w:val="0"/>
    </w:pPr>
    <w:rPr>
      <w:color w:val="000000"/>
      <w:sz w:val="24"/>
      <w:szCs w:val="24"/>
      <w:lang w:val="hr-HR"/>
    </w:rPr>
  </w:style>
  <w:style w:type="paragraph" w:customStyle="1" w:styleId="CharChar1">
    <w:name w:val="Char Char1"/>
    <w:aliases w:val="Char Char Char"/>
    <w:basedOn w:val="Normal"/>
    <w:rsid w:val="00B748B1"/>
    <w:pPr>
      <w:spacing w:after="160" w:line="240" w:lineRule="exact"/>
    </w:pPr>
    <w:rPr>
      <w:rFonts w:ascii="Tahoma" w:eastAsia="Times New Roman" w:hAnsi="Tahoma"/>
      <w:sz w:val="20"/>
      <w:szCs w:val="20"/>
    </w:rPr>
  </w:style>
  <w:style w:type="paragraph" w:customStyle="1" w:styleId="t-9-8">
    <w:name w:val="t-9-8"/>
    <w:basedOn w:val="Normal"/>
    <w:rsid w:val="00AD5A9B"/>
    <w:pPr>
      <w:suppressAutoHyphens/>
      <w:spacing w:before="280" w:after="280"/>
    </w:pPr>
    <w:rPr>
      <w:rFonts w:ascii="Times New Roman" w:eastAsia="Times New Roman" w:hAnsi="Times New Roman"/>
      <w:sz w:val="24"/>
      <w:szCs w:val="24"/>
      <w:lang w:val="hr-HR" w:eastAsia="ar-SA"/>
    </w:rPr>
  </w:style>
  <w:style w:type="paragraph" w:customStyle="1" w:styleId="CharCharCharCharCharChar">
    <w:name w:val="Char Char Char Char Char Char"/>
    <w:basedOn w:val="Normal"/>
    <w:rsid w:val="00AD5A9B"/>
    <w:pPr>
      <w:suppressAutoHyphens/>
      <w:spacing w:after="160" w:line="240" w:lineRule="exact"/>
    </w:pPr>
    <w:rPr>
      <w:rFonts w:ascii="Tahoma" w:eastAsia="Times New Roman" w:hAnsi="Tahoma" w:cs="Tahoma"/>
      <w:sz w:val="20"/>
      <w:szCs w:val="20"/>
      <w:lang w:eastAsia="ar-SA"/>
    </w:rPr>
  </w:style>
  <w:style w:type="character" w:styleId="CommentReference">
    <w:name w:val="annotation reference"/>
    <w:uiPriority w:val="99"/>
    <w:semiHidden/>
    <w:unhideWhenUsed/>
    <w:rsid w:val="009D041E"/>
    <w:rPr>
      <w:sz w:val="16"/>
      <w:szCs w:val="16"/>
    </w:rPr>
  </w:style>
  <w:style w:type="paragraph" w:styleId="CommentText">
    <w:name w:val="annotation text"/>
    <w:basedOn w:val="Normal"/>
    <w:link w:val="CommentTextChar"/>
    <w:uiPriority w:val="99"/>
    <w:unhideWhenUsed/>
    <w:rsid w:val="009D041E"/>
    <w:rPr>
      <w:sz w:val="20"/>
      <w:szCs w:val="20"/>
    </w:rPr>
  </w:style>
  <w:style w:type="character" w:customStyle="1" w:styleId="CommentTextChar">
    <w:name w:val="Comment Text Char"/>
    <w:link w:val="CommentText"/>
    <w:uiPriority w:val="99"/>
    <w:rsid w:val="009D041E"/>
    <w:rPr>
      <w:rFonts w:ascii="Arial" w:hAnsi="Arial"/>
      <w:lang w:val="en-US" w:eastAsia="en-US"/>
    </w:rPr>
  </w:style>
  <w:style w:type="paragraph" w:styleId="CommentSubject">
    <w:name w:val="annotation subject"/>
    <w:basedOn w:val="CommentText"/>
    <w:next w:val="CommentText"/>
    <w:link w:val="CommentSubjectChar"/>
    <w:uiPriority w:val="99"/>
    <w:semiHidden/>
    <w:unhideWhenUsed/>
    <w:rsid w:val="009D041E"/>
    <w:rPr>
      <w:b/>
      <w:bCs/>
    </w:rPr>
  </w:style>
  <w:style w:type="character" w:customStyle="1" w:styleId="CommentSubjectChar">
    <w:name w:val="Comment Subject Char"/>
    <w:link w:val="CommentSubject"/>
    <w:uiPriority w:val="99"/>
    <w:semiHidden/>
    <w:rsid w:val="009D041E"/>
    <w:rPr>
      <w:rFonts w:ascii="Arial" w:hAnsi="Arial"/>
      <w:b/>
      <w:bCs/>
      <w:lang w:val="en-US" w:eastAsia="en-US"/>
    </w:rPr>
  </w:style>
  <w:style w:type="character" w:customStyle="1" w:styleId="Heading4Char">
    <w:name w:val="Heading 4 Char"/>
    <w:link w:val="Heading4"/>
    <w:uiPriority w:val="9"/>
    <w:rsid w:val="00D61317"/>
    <w:rPr>
      <w:rFonts w:ascii="Calibri" w:eastAsia="Times New Roman" w:hAnsi="Calibri" w:cs="Times New Roman"/>
      <w:b/>
      <w:bCs/>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LK6y6edcS9XsuQy9jqf/3NMSsg==">CgMxLjAyDmguYjB3a29xMXg4czhnMg5oLmtkdTgxNWVvOGpxaTgAciExSnhOUUVMSTY0Y0ozSDVjR2hub1FPdERnV3ZSdzNablU=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482</Words>
  <Characters>2748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Srđan Žuškin</dc:creator>
  <cp:lastModifiedBy>Korisnik</cp:lastModifiedBy>
  <cp:revision>3</cp:revision>
  <dcterms:created xsi:type="dcterms:W3CDTF">2026-02-11T15:00:00Z</dcterms:created>
  <dcterms:modified xsi:type="dcterms:W3CDTF">2026-02-12T08:01:00Z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a177e8af-ce9b-4805-b018-5f501e73de56</vt:lpwstr>
  </property>
</Properties>
</file>